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30FD4" w:rsidRPr="00F6369B" w:rsidP="00F30FD4">
      <w:pPr>
        <w:jc w:val="center"/>
        <w:rPr>
          <w:rFonts w:ascii="Times New Roman" w:hAnsi="Times New Roman"/>
          <w:b/>
          <w:smallCaps/>
          <w:sz w:val="28"/>
          <w:szCs w:val="28"/>
        </w:rPr>
      </w:pPr>
      <w:bookmarkStart w:id="0" w:name="_GoBack"/>
      <w:bookmarkEnd w:id="0"/>
      <w:r w:rsidRPr="00F6369B">
        <w:rPr>
          <w:rFonts w:ascii="Times New Roman" w:hAnsi="Times New Roman"/>
          <w:b/>
          <w:smallCaps/>
          <w:sz w:val="28"/>
          <w:szCs w:val="28"/>
        </w:rPr>
        <w:t>rámcová Smlouva o poradenské a auditorské činnosti</w:t>
      </w:r>
    </w:p>
    <w:p w:rsidR="00F30FD4" w:rsidRPr="004E7BB6" w:rsidP="00F30FD4">
      <w:pPr>
        <w:jc w:val="both"/>
        <w:rPr>
          <w:rFonts w:ascii="Times New Roman" w:hAnsi="Times New Roman"/>
          <w:b/>
          <w:smallCaps/>
          <w:sz w:val="24"/>
          <w:szCs w:val="24"/>
        </w:rPr>
      </w:pPr>
    </w:p>
    <w:p w:rsidR="00F30FD4" w:rsidRPr="004E7BB6" w:rsidP="00F30FD4">
      <w:pPr>
        <w:jc w:val="center"/>
        <w:rPr>
          <w:rFonts w:ascii="Times New Roman" w:hAnsi="Times New Roman"/>
          <w:sz w:val="24"/>
          <w:szCs w:val="24"/>
        </w:rPr>
      </w:pPr>
      <w:r w:rsidRPr="004E7BB6">
        <w:rPr>
          <w:rFonts w:ascii="Times New Roman" w:hAnsi="Times New Roman"/>
          <w:sz w:val="24"/>
          <w:szCs w:val="24"/>
        </w:rPr>
        <w:t xml:space="preserve">uzavřená podle ustanovení §269 odst. </w:t>
      </w:r>
      <w:smartTag w:uri="urn:schemas-microsoft-com:office:smarttags" w:element="metricconverter">
        <w:smartTagPr>
          <w:attr w:name="ProductID" w:val="2 a"/>
        </w:smartTagPr>
        <w:r w:rsidRPr="004E7BB6">
          <w:rPr>
            <w:rFonts w:ascii="Times New Roman" w:hAnsi="Times New Roman"/>
            <w:sz w:val="24"/>
            <w:szCs w:val="24"/>
          </w:rPr>
          <w:t>2 a</w:t>
        </w:r>
      </w:smartTag>
      <w:r w:rsidRPr="004E7BB6">
        <w:rPr>
          <w:rFonts w:ascii="Times New Roman" w:hAnsi="Times New Roman"/>
          <w:sz w:val="24"/>
          <w:szCs w:val="24"/>
        </w:rPr>
        <w:t xml:space="preserve"> za přiměřeného použití §591 a násl. zákona č. 513/1991 Sb., obchodního zákoníku, ve znění pozdějších předpisů, v souladu s § 11 zákona č. 137/2006 Sb., o veřejných zakázkách, ve znění pozdějších předpisů</w:t>
      </w:r>
    </w:p>
    <w:p w:rsidR="00F30FD4" w:rsidRPr="004E7BB6" w:rsidP="00F30FD4">
      <w:pPr>
        <w:jc w:val="center"/>
        <w:rPr>
          <w:rFonts w:ascii="Times New Roman" w:hAnsi="Times New Roman"/>
          <w:iCs/>
          <w:sz w:val="24"/>
          <w:szCs w:val="24"/>
        </w:rPr>
      </w:pPr>
      <w:r w:rsidRPr="004E7BB6">
        <w:rPr>
          <w:rFonts w:ascii="Times New Roman" w:hAnsi="Times New Roman"/>
          <w:iCs/>
          <w:sz w:val="24"/>
          <w:szCs w:val="24"/>
        </w:rPr>
        <w:t>(dále jen „</w:t>
      </w:r>
      <w:r w:rsidRPr="004E7BB6">
        <w:rPr>
          <w:rFonts w:ascii="Times New Roman" w:hAnsi="Times New Roman"/>
          <w:b/>
          <w:iCs/>
          <w:sz w:val="24"/>
          <w:szCs w:val="24"/>
        </w:rPr>
        <w:t>Smlouva</w:t>
      </w:r>
      <w:r w:rsidRPr="004E7BB6">
        <w:rPr>
          <w:rFonts w:ascii="Times New Roman" w:hAnsi="Times New Roman"/>
          <w:iCs/>
          <w:sz w:val="24"/>
          <w:szCs w:val="24"/>
        </w:rPr>
        <w:t>“)</w:t>
      </w:r>
    </w:p>
    <w:p w:rsidR="00F30FD4" w:rsidRPr="004E7BB6" w:rsidP="00F30FD4">
      <w:pPr>
        <w:autoSpaceDE w:val="0"/>
        <w:autoSpaceDN w:val="0"/>
        <w:adjustRightInd w:val="0"/>
        <w:spacing w:after="120"/>
        <w:jc w:val="both"/>
        <w:rPr>
          <w:rFonts w:ascii="Times New Roman" w:hAnsi="Times New Roman"/>
          <w:b/>
          <w:bCs/>
          <w:sz w:val="24"/>
          <w:szCs w:val="24"/>
        </w:rPr>
      </w:pP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mezi těmito Smluvními stranami</w:t>
      </w: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pStyle w:val="Odstavecseseznamem1"/>
        <w:numPr>
          <w:ilvl w:val="0"/>
          <w:numId w:val="1"/>
        </w:numPr>
        <w:autoSpaceDE w:val="0"/>
        <w:autoSpaceDN w:val="0"/>
        <w:adjustRightInd w:val="0"/>
        <w:jc w:val="both"/>
        <w:rPr>
          <w:b/>
          <w:sz w:val="24"/>
          <w:szCs w:val="24"/>
        </w:rPr>
      </w:pPr>
    </w:p>
    <w:p w:rsidR="00F30FD4" w:rsidRPr="004E7BB6" w:rsidP="00F30FD4">
      <w:pPr>
        <w:autoSpaceDE w:val="0"/>
        <w:autoSpaceDN w:val="0"/>
        <w:adjustRightInd w:val="0"/>
        <w:jc w:val="both"/>
        <w:rPr>
          <w:rFonts w:ascii="Times New Roman" w:hAnsi="Times New Roman"/>
          <w:b/>
          <w:sz w:val="24"/>
          <w:szCs w:val="24"/>
        </w:rPr>
      </w:pP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 xml:space="preserve">se sídlem: </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 xml:space="preserve">zapsanou v obchodním rejstříku </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 xml:space="preserve">jejímž jménem jedná: </w:t>
      </w:r>
      <w:r w:rsidRPr="004E7BB6">
        <w:rPr>
          <w:rFonts w:ascii="Times New Roman" w:hAnsi="Times New Roman"/>
          <w:sz w:val="24"/>
          <w:szCs w:val="24"/>
        </w:rPr>
        <w:tab/>
        <w:t xml:space="preserve"> jednatel</w:t>
      </w:r>
    </w:p>
    <w:p w:rsidR="00F30FD4" w:rsidRPr="004E7BB6" w:rsidP="00F30FD4">
      <w:pPr>
        <w:jc w:val="both"/>
        <w:outlineLvl w:val="0"/>
        <w:rPr>
          <w:rFonts w:ascii="Times New Roman" w:hAnsi="Times New Roman"/>
          <w:sz w:val="24"/>
          <w:szCs w:val="24"/>
        </w:rPr>
      </w:pPr>
      <w:r w:rsidRPr="004E7BB6">
        <w:rPr>
          <w:rFonts w:ascii="Times New Roman" w:hAnsi="Times New Roman"/>
          <w:sz w:val="24"/>
          <w:szCs w:val="24"/>
        </w:rPr>
        <w:t xml:space="preserve">IČO: </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 xml:space="preserve">DIČ: </w:t>
      </w: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(dále jen „Poskytovatel“)</w:t>
      </w: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pStyle w:val="Odstavecseseznamem1"/>
        <w:numPr>
          <w:ilvl w:val="0"/>
          <w:numId w:val="1"/>
        </w:numPr>
        <w:autoSpaceDE w:val="0"/>
        <w:autoSpaceDN w:val="0"/>
        <w:adjustRightInd w:val="0"/>
        <w:jc w:val="both"/>
        <w:rPr>
          <w:b/>
          <w:bCs/>
          <w:sz w:val="24"/>
          <w:szCs w:val="24"/>
        </w:rPr>
      </w:pPr>
      <w:r w:rsidRPr="004E7BB6">
        <w:rPr>
          <w:b/>
          <w:sz w:val="24"/>
          <w:szCs w:val="24"/>
        </w:rPr>
        <w:t>Česká republika – Ministerstvo financí</w:t>
      </w: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 xml:space="preserve">se sídlem: Letenská 15, Praha 1, PSČ 118 10 </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jejímž jménem jedná:</w:t>
      </w:r>
      <w:r>
        <w:rPr>
          <w:rFonts w:ascii="Times New Roman" w:hAnsi="Times New Roman"/>
          <w:sz w:val="24"/>
          <w:szCs w:val="24"/>
        </w:rPr>
        <w:t xml:space="preserve"> </w:t>
      </w:r>
      <w:r w:rsidRPr="004E7BB6">
        <w:rPr>
          <w:rFonts w:ascii="Times New Roman" w:hAnsi="Times New Roman"/>
          <w:sz w:val="24"/>
          <w:szCs w:val="24"/>
        </w:rPr>
        <w:tab/>
        <w:t>Ing.</w:t>
      </w:r>
      <w:r>
        <w:rPr>
          <w:rFonts w:ascii="Times New Roman" w:hAnsi="Times New Roman"/>
          <w:sz w:val="24"/>
          <w:szCs w:val="24"/>
        </w:rPr>
        <w:t xml:space="preserve"> </w:t>
      </w:r>
      <w:r w:rsidRPr="004E7BB6">
        <w:rPr>
          <w:rFonts w:ascii="Times New Roman" w:hAnsi="Times New Roman"/>
          <w:sz w:val="24"/>
          <w:szCs w:val="24"/>
        </w:rPr>
        <w:t xml:space="preserve">Andrej </w:t>
      </w:r>
      <w:r w:rsidRPr="004E7BB6">
        <w:rPr>
          <w:rFonts w:ascii="Times New Roman" w:hAnsi="Times New Roman"/>
          <w:sz w:val="24"/>
          <w:szCs w:val="24"/>
        </w:rPr>
        <w:t>Babiš</w:t>
      </w:r>
      <w:r w:rsidRPr="004E7BB6">
        <w:rPr>
          <w:rFonts w:ascii="Times New Roman" w:hAnsi="Times New Roman"/>
          <w:sz w:val="24"/>
          <w:szCs w:val="24"/>
        </w:rPr>
        <w:t>, ministr financí České republiky</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IČO: 00006947</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DIČ: CZ00006947</w:t>
      </w:r>
    </w:p>
    <w:p w:rsidR="00F30FD4" w:rsidRPr="004E7BB6" w:rsidP="00F30FD4">
      <w:pPr>
        <w:autoSpaceDE w:val="0"/>
        <w:autoSpaceDN w:val="0"/>
        <w:adjustRightInd w:val="0"/>
        <w:jc w:val="both"/>
        <w:rPr>
          <w:rFonts w:ascii="Times New Roman" w:hAnsi="Times New Roman"/>
          <w:sz w:val="24"/>
          <w:szCs w:val="24"/>
        </w:rPr>
      </w:pPr>
      <w:r w:rsidRPr="004E7BB6">
        <w:rPr>
          <w:rFonts w:ascii="Times New Roman" w:hAnsi="Times New Roman"/>
          <w:sz w:val="24"/>
          <w:szCs w:val="24"/>
        </w:rPr>
        <w:t>(dále jen „Objednatel</w:t>
      </w:r>
      <w:r w:rsidRPr="004E7BB6">
        <w:rPr>
          <w:rFonts w:ascii="Times New Roman" w:hAnsi="Times New Roman"/>
          <w:b/>
          <w:sz w:val="24"/>
          <w:szCs w:val="24"/>
        </w:rPr>
        <w:t>“</w:t>
      </w:r>
      <w:r w:rsidRPr="004E7BB6">
        <w:rPr>
          <w:rFonts w:ascii="Times New Roman" w:hAnsi="Times New Roman"/>
          <w:sz w:val="24"/>
          <w:szCs w:val="24"/>
        </w:rPr>
        <w:t>)</w:t>
      </w: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autoSpaceDE w:val="0"/>
        <w:autoSpaceDN w:val="0"/>
        <w:adjustRightInd w:val="0"/>
        <w:jc w:val="both"/>
        <w:rPr>
          <w:rFonts w:ascii="Times New Roman" w:hAnsi="Times New Roman"/>
          <w:sz w:val="24"/>
          <w:szCs w:val="24"/>
        </w:rPr>
      </w:pPr>
    </w:p>
    <w:p w:rsidR="00F30FD4" w:rsidRPr="004E7BB6" w:rsidP="00F30FD4">
      <w:pPr>
        <w:ind w:left="426"/>
        <w:jc w:val="both"/>
        <w:rPr>
          <w:rFonts w:ascii="Times New Roman" w:hAnsi="Times New Roman"/>
          <w:sz w:val="24"/>
          <w:szCs w:val="24"/>
        </w:rPr>
      </w:pPr>
      <w:r w:rsidRPr="004E7BB6">
        <w:rPr>
          <w:rFonts w:ascii="Times New Roman" w:hAnsi="Times New Roman"/>
          <w:sz w:val="24"/>
          <w:szCs w:val="24"/>
        </w:rPr>
        <w:t xml:space="preserve">(dále jen </w:t>
      </w:r>
      <w:r w:rsidRPr="004E7BB6">
        <w:rPr>
          <w:rFonts w:ascii="Times New Roman" w:hAnsi="Times New Roman"/>
          <w:b/>
          <w:sz w:val="24"/>
          <w:szCs w:val="24"/>
        </w:rPr>
        <w:t>Poskytovatel</w:t>
      </w:r>
      <w:r w:rsidRPr="004E7BB6">
        <w:rPr>
          <w:rFonts w:ascii="Times New Roman" w:hAnsi="Times New Roman"/>
          <w:sz w:val="24"/>
          <w:szCs w:val="24"/>
        </w:rPr>
        <w:t xml:space="preserve"> a </w:t>
      </w:r>
      <w:r w:rsidRPr="004E7BB6">
        <w:rPr>
          <w:rFonts w:ascii="Times New Roman" w:hAnsi="Times New Roman"/>
          <w:b/>
          <w:sz w:val="24"/>
          <w:szCs w:val="24"/>
        </w:rPr>
        <w:t>Objednatel</w:t>
      </w:r>
      <w:r w:rsidRPr="004E7BB6">
        <w:rPr>
          <w:rFonts w:ascii="Times New Roman" w:hAnsi="Times New Roman"/>
          <w:sz w:val="24"/>
          <w:szCs w:val="24"/>
        </w:rPr>
        <w:t xml:space="preserve"> společně jako "</w:t>
      </w:r>
      <w:r w:rsidRPr="004E7BB6">
        <w:rPr>
          <w:rFonts w:ascii="Times New Roman" w:hAnsi="Times New Roman"/>
          <w:b/>
          <w:sz w:val="24"/>
          <w:szCs w:val="24"/>
        </w:rPr>
        <w:t>Smluvní strany</w:t>
      </w:r>
      <w:r w:rsidRPr="004E7BB6">
        <w:rPr>
          <w:rFonts w:ascii="Times New Roman" w:hAnsi="Times New Roman"/>
          <w:sz w:val="24"/>
          <w:szCs w:val="24"/>
        </w:rPr>
        <w:t>" nebo každý z nich samostatně jen "</w:t>
      </w:r>
      <w:r w:rsidRPr="004E7BB6">
        <w:rPr>
          <w:rFonts w:ascii="Times New Roman" w:hAnsi="Times New Roman"/>
          <w:b/>
          <w:sz w:val="24"/>
          <w:szCs w:val="24"/>
        </w:rPr>
        <w:t>Smluvní strana</w:t>
      </w:r>
      <w:r w:rsidRPr="004E7BB6">
        <w:rPr>
          <w:rFonts w:ascii="Times New Roman" w:hAnsi="Times New Roman"/>
          <w:sz w:val="24"/>
          <w:szCs w:val="24"/>
        </w:rPr>
        <w:t>").</w:t>
      </w:r>
    </w:p>
    <w:p w:rsidR="00F30FD4" w:rsidRPr="004E7BB6" w:rsidP="00F30FD4">
      <w:pPr>
        <w:autoSpaceDE w:val="0"/>
        <w:autoSpaceDN w:val="0"/>
        <w:adjustRightInd w:val="0"/>
        <w:spacing w:after="120"/>
        <w:jc w:val="both"/>
        <w:rPr>
          <w:rFonts w:ascii="Times New Roman" w:hAnsi="Times New Roman"/>
          <w:sz w:val="24"/>
          <w:szCs w:val="24"/>
        </w:rPr>
      </w:pPr>
    </w:p>
    <w:p w:rsidR="00F30FD4" w:rsidRPr="004E7BB6" w:rsidP="00F30FD4">
      <w:pPr>
        <w:pStyle w:val="Odstavecseseznamem1"/>
        <w:numPr>
          <w:ilvl w:val="0"/>
          <w:numId w:val="3"/>
        </w:numPr>
        <w:spacing w:after="120"/>
        <w:ind w:left="1077"/>
        <w:jc w:val="center"/>
        <w:rPr>
          <w:b/>
          <w:sz w:val="24"/>
          <w:szCs w:val="24"/>
        </w:rPr>
      </w:pPr>
      <w:r w:rsidRPr="004E7BB6">
        <w:rPr>
          <w:b/>
          <w:sz w:val="24"/>
          <w:szCs w:val="24"/>
        </w:rPr>
        <w:t>PŘEDMĚT SMLOUVY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1.1 Předmětem této Smlouvy je vymezení podmínek, za kterých budou mezi Poskytovatelem a Objednatelem uzavírány dílčí smlouvy (dále jen „Dílčí smlouvy“), jejichž obsahem budou konkretizovaná plnění, která jsou předmětem veřejné zakázky „Auditní služby – akreditace a certifikace platební agentury 2014 – 2020“ vedené pod evidenčním číslem </w:t>
      </w:r>
      <w:r w:rsidRPr="004E7BB6">
        <w:rPr>
          <w:rFonts w:ascii="Times New Roman" w:hAnsi="Times New Roman"/>
          <w:sz w:val="24"/>
          <w:szCs w:val="24"/>
          <w:highlight w:val="red"/>
        </w:rPr>
        <w:t>…</w:t>
      </w:r>
      <w:r w:rsidRPr="004E7BB6">
        <w:rPr>
          <w:rFonts w:ascii="Times New Roman" w:hAnsi="Times New Roman"/>
          <w:sz w:val="24"/>
          <w:szCs w:val="24"/>
        </w:rPr>
        <w:t xml:space="preserve"> dle příslušných předpisů EU (dále jen „Služby“).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1.2 V souladu s předmětem výše uvedené veřejné zakázky budou Služby poskytované na základě Dílčích smluv v souladu s touto Smlouvou zahrnovat následující činnosti:</w:t>
      </w:r>
    </w:p>
    <w:p w:rsidR="00F30FD4" w:rsidRPr="004E7BB6" w:rsidP="00F30FD4">
      <w:pPr>
        <w:spacing w:after="120"/>
        <w:jc w:val="both"/>
        <w:rPr>
          <w:rFonts w:ascii="Times New Roman" w:hAnsi="Times New Roman"/>
          <w:sz w:val="24"/>
          <w:szCs w:val="24"/>
        </w:rPr>
      </w:pPr>
    </w:p>
    <w:p w:rsidR="00F30FD4" w:rsidRPr="004E7BB6" w:rsidP="00F30FD4">
      <w:pPr>
        <w:pStyle w:val="Odstavecseseznamem1"/>
        <w:autoSpaceDE w:val="0"/>
        <w:autoSpaceDN w:val="0"/>
        <w:adjustRightInd w:val="0"/>
        <w:spacing w:after="120"/>
        <w:ind w:left="360"/>
        <w:jc w:val="both"/>
        <w:rPr>
          <w:bCs/>
          <w:sz w:val="24"/>
          <w:szCs w:val="24"/>
          <w:u w:val="single"/>
          <w:lang w:eastAsia="cs-CZ"/>
        </w:rPr>
      </w:pPr>
      <w:r w:rsidRPr="004E7BB6">
        <w:rPr>
          <w:bCs/>
          <w:sz w:val="24"/>
          <w:szCs w:val="24"/>
          <w:u w:val="single"/>
          <w:lang w:eastAsia="cs-CZ"/>
        </w:rPr>
        <w:t>Akreditace platební agentury pro finanční roky 2014 – 2020</w:t>
      </w:r>
    </w:p>
    <w:p w:rsidR="00F30FD4" w:rsidRPr="004E7BB6" w:rsidP="00F30FD4">
      <w:pPr>
        <w:pStyle w:val="Odstavecseseznamem1"/>
        <w:autoSpaceDE w:val="0"/>
        <w:autoSpaceDN w:val="0"/>
        <w:adjustRightInd w:val="0"/>
        <w:spacing w:after="120"/>
        <w:ind w:left="357"/>
        <w:jc w:val="both"/>
        <w:rPr>
          <w:bCs/>
          <w:sz w:val="24"/>
          <w:szCs w:val="24"/>
          <w:u w:val="single"/>
          <w:lang w:eastAsia="cs-CZ"/>
        </w:rPr>
      </w:pPr>
      <w:r w:rsidRPr="004E7BB6">
        <w:rPr>
          <w:sz w:val="24"/>
          <w:szCs w:val="24"/>
          <w:lang w:eastAsia="cs-CZ"/>
        </w:rPr>
        <w:t>Provedení nezávislého auditu platební agentury určené pro provádění opatření společné zemědělské politiky (dále jen „SZP“) financovaných z Evropského zemědělského záručního fondu (dále jen „EZZF“) a z Evropského fondu pro rozvoj venkova (dále jen „EZFRV“) (dále jen „platební agentury“), na základě jehož výsledků Objednatel rozhodne v souladu se zněním článku 7 návrhu nařízení Evropského parlamentu a Rady o financování, řízení a sledování společné zemědělské politiky o potvrzení stávající akreditace k provádění opatření SZP financovaných z EZZF a EZFRV.</w:t>
      </w:r>
    </w:p>
    <w:p w:rsidR="00F30FD4" w:rsidRPr="004E7BB6" w:rsidP="00F30FD4">
      <w:pPr>
        <w:pStyle w:val="Odstavecseseznamem1"/>
        <w:autoSpaceDE w:val="0"/>
        <w:autoSpaceDN w:val="0"/>
        <w:adjustRightInd w:val="0"/>
        <w:spacing w:after="120"/>
        <w:ind w:left="360"/>
        <w:jc w:val="both"/>
        <w:rPr>
          <w:bCs/>
          <w:sz w:val="24"/>
          <w:szCs w:val="24"/>
          <w:u w:val="single"/>
          <w:lang w:eastAsia="cs-CZ"/>
        </w:rPr>
      </w:pPr>
    </w:p>
    <w:p w:rsidR="00F30FD4" w:rsidRPr="004E7BB6" w:rsidP="00F30FD4">
      <w:pPr>
        <w:pStyle w:val="Odstavecseseznamem1"/>
        <w:autoSpaceDE w:val="0"/>
        <w:autoSpaceDN w:val="0"/>
        <w:adjustRightInd w:val="0"/>
        <w:spacing w:after="120"/>
        <w:ind w:left="360"/>
        <w:jc w:val="both"/>
        <w:rPr>
          <w:bCs/>
          <w:sz w:val="24"/>
          <w:szCs w:val="24"/>
          <w:u w:val="single"/>
          <w:lang w:eastAsia="cs-CZ"/>
        </w:rPr>
      </w:pPr>
      <w:r w:rsidRPr="004E7BB6">
        <w:rPr>
          <w:bCs/>
          <w:sz w:val="24"/>
          <w:szCs w:val="24"/>
          <w:u w:val="single"/>
          <w:lang w:eastAsia="cs-CZ"/>
        </w:rPr>
        <w:t xml:space="preserve">Certifikace účtů platební agentury akreditované k </w:t>
      </w:r>
      <w:r w:rsidRPr="004E7BB6">
        <w:rPr>
          <w:sz w:val="24"/>
          <w:szCs w:val="24"/>
          <w:u w:val="single"/>
          <w:lang w:eastAsia="cs-CZ"/>
        </w:rPr>
        <w:t>provádění opatření SZP financovaných z EZZF a EZFRV pro finanční roky 2014 - 2020</w:t>
      </w:r>
    </w:p>
    <w:p w:rsidR="00F30FD4" w:rsidRPr="004E7BB6" w:rsidP="00F30FD4">
      <w:pPr>
        <w:ind w:left="357" w:hanging="357"/>
        <w:jc w:val="both"/>
        <w:outlineLvl w:val="0"/>
        <w:rPr>
          <w:rFonts w:ascii="Times New Roman" w:hAnsi="Times New Roman"/>
          <w:bCs/>
          <w:sz w:val="24"/>
          <w:szCs w:val="24"/>
        </w:rPr>
      </w:pPr>
      <w:r w:rsidRPr="004E7BB6">
        <w:rPr>
          <w:rFonts w:ascii="Times New Roman" w:hAnsi="Times New Roman"/>
          <w:sz w:val="24"/>
          <w:szCs w:val="24"/>
        </w:rPr>
        <w:t xml:space="preserve">       Poskytnutí výroku </w:t>
      </w:r>
      <w:r w:rsidRPr="004E7BB6">
        <w:rPr>
          <w:rFonts w:ascii="Times New Roman" w:hAnsi="Times New Roman"/>
          <w:bCs/>
          <w:iCs/>
          <w:sz w:val="24"/>
          <w:szCs w:val="24"/>
        </w:rPr>
        <w:t>vypracovaného v souladu s mezinárodně uznávanými auditorskými standardy</w:t>
      </w:r>
      <w:r w:rsidRPr="004E7BB6">
        <w:rPr>
          <w:rFonts w:ascii="Times New Roman" w:hAnsi="Times New Roman"/>
          <w:sz w:val="24"/>
          <w:szCs w:val="24"/>
        </w:rPr>
        <w:t xml:space="preserve"> ohledně úplnosti, přesnosti a věcné správnosti roční účetní závěrky platební agentury, řádného fungování </w:t>
      </w:r>
      <w:r w:rsidRPr="004E7BB6">
        <w:rPr>
          <w:rFonts w:ascii="Times New Roman" w:hAnsi="Times New Roman"/>
          <w:bCs/>
          <w:iCs/>
          <w:sz w:val="24"/>
          <w:szCs w:val="24"/>
        </w:rPr>
        <w:t>jejího vnitřního</w:t>
      </w:r>
      <w:r w:rsidRPr="004E7BB6">
        <w:rPr>
          <w:rFonts w:ascii="Times New Roman" w:hAnsi="Times New Roman"/>
          <w:sz w:val="24"/>
          <w:szCs w:val="24"/>
        </w:rPr>
        <w:t xml:space="preserve"> kontrolního </w:t>
      </w:r>
      <w:r w:rsidRPr="004E7BB6">
        <w:rPr>
          <w:rFonts w:ascii="Times New Roman" w:hAnsi="Times New Roman"/>
          <w:bCs/>
          <w:iCs/>
          <w:sz w:val="24"/>
          <w:szCs w:val="24"/>
        </w:rPr>
        <w:t>systému</w:t>
      </w:r>
      <w:r w:rsidRPr="004E7BB6">
        <w:rPr>
          <w:rFonts w:ascii="Times New Roman" w:hAnsi="Times New Roman"/>
          <w:sz w:val="24"/>
          <w:szCs w:val="24"/>
        </w:rPr>
        <w:t xml:space="preserve"> a legality a správnosti </w:t>
      </w:r>
      <w:r w:rsidRPr="004E7BB6">
        <w:rPr>
          <w:rFonts w:ascii="Times New Roman" w:hAnsi="Times New Roman"/>
          <w:bCs/>
          <w:sz w:val="24"/>
          <w:szCs w:val="24"/>
        </w:rPr>
        <w:t>výdajů,</w:t>
      </w:r>
      <w:r w:rsidRPr="004E7BB6">
        <w:rPr>
          <w:rFonts w:ascii="Times New Roman" w:hAnsi="Times New Roman"/>
          <w:bCs/>
          <w:i/>
          <w:iCs/>
          <w:sz w:val="24"/>
          <w:szCs w:val="24"/>
        </w:rPr>
        <w:t xml:space="preserve"> </w:t>
      </w:r>
      <w:r w:rsidRPr="004E7BB6">
        <w:rPr>
          <w:rFonts w:ascii="Times New Roman" w:hAnsi="Times New Roman"/>
          <w:bCs/>
          <w:sz w:val="24"/>
          <w:szCs w:val="24"/>
        </w:rPr>
        <w:t xml:space="preserve">o jejichž proplacení byla požádána Evropská komise. </w:t>
      </w:r>
    </w:p>
    <w:p w:rsidR="00F30FD4" w:rsidRPr="004E7BB6" w:rsidP="00F30FD4">
      <w:pPr>
        <w:ind w:left="357" w:hanging="357"/>
        <w:jc w:val="both"/>
        <w:outlineLvl w:val="0"/>
        <w:rPr>
          <w:rFonts w:ascii="Times New Roman" w:hAnsi="Times New Roman"/>
          <w:bCs/>
          <w:sz w:val="24"/>
          <w:szCs w:val="24"/>
        </w:rPr>
      </w:pPr>
    </w:p>
    <w:p w:rsidR="00F30FD4" w:rsidRPr="004E7BB6" w:rsidP="00F30FD4">
      <w:pPr>
        <w:pStyle w:val="BodyTextIndent"/>
        <w:tabs>
          <w:tab w:val="left" w:pos="720"/>
        </w:tabs>
        <w:spacing w:before="0" w:after="120"/>
        <w:ind w:left="0"/>
        <w:rPr>
          <w:sz w:val="24"/>
          <w:szCs w:val="24"/>
        </w:rPr>
      </w:pPr>
    </w:p>
    <w:p w:rsidR="00F30FD4" w:rsidRPr="004E7BB6" w:rsidP="00F30FD4">
      <w:pPr>
        <w:pStyle w:val="Odstavecseseznamem1"/>
        <w:numPr>
          <w:ilvl w:val="0"/>
          <w:numId w:val="3"/>
        </w:numPr>
        <w:spacing w:after="120"/>
        <w:ind w:left="1077"/>
        <w:jc w:val="center"/>
        <w:rPr>
          <w:b/>
          <w:sz w:val="24"/>
          <w:szCs w:val="24"/>
        </w:rPr>
      </w:pPr>
      <w:r w:rsidRPr="004E7BB6">
        <w:rPr>
          <w:b/>
          <w:sz w:val="24"/>
          <w:szCs w:val="24"/>
        </w:rPr>
        <w:t>DÍLČÍ SMLOUVY</w:t>
      </w:r>
    </w:p>
    <w:p w:rsidR="00F30FD4" w:rsidRPr="004E7BB6" w:rsidP="00F30FD4">
      <w:pPr>
        <w:pStyle w:val="Odstavecseseznamem1"/>
        <w:autoSpaceDE w:val="0"/>
        <w:autoSpaceDN w:val="0"/>
        <w:adjustRightInd w:val="0"/>
        <w:spacing w:after="120"/>
        <w:ind w:left="0"/>
        <w:rPr>
          <w:b/>
          <w:bCs/>
          <w:sz w:val="24"/>
          <w:szCs w:val="24"/>
        </w:rPr>
      </w:pPr>
    </w:p>
    <w:p w:rsidR="00F30FD4" w:rsidRPr="004E7BB6" w:rsidP="00F30FD4">
      <w:pPr>
        <w:pStyle w:val="Odstavecseseznamem1"/>
        <w:autoSpaceDE w:val="0"/>
        <w:autoSpaceDN w:val="0"/>
        <w:adjustRightInd w:val="0"/>
        <w:spacing w:after="120"/>
        <w:ind w:left="0"/>
        <w:rPr>
          <w:b/>
          <w:bCs/>
          <w:sz w:val="24"/>
          <w:szCs w:val="24"/>
        </w:rPr>
      </w:pPr>
      <w:r w:rsidRPr="004E7BB6">
        <w:rPr>
          <w:b/>
          <w:bCs/>
          <w:sz w:val="24"/>
          <w:szCs w:val="24"/>
        </w:rPr>
        <w:t>2.1 Uzavírání Dílčích smluv</w:t>
      </w:r>
    </w:p>
    <w:p w:rsidR="00F30FD4" w:rsidRPr="004E7BB6" w:rsidP="00F30FD4">
      <w:pPr>
        <w:pStyle w:val="Odstavecseseznamem1"/>
        <w:autoSpaceDE w:val="0"/>
        <w:autoSpaceDN w:val="0"/>
        <w:adjustRightInd w:val="0"/>
        <w:spacing w:after="120"/>
        <w:ind w:left="0"/>
        <w:jc w:val="both"/>
        <w:rPr>
          <w:bCs/>
          <w:sz w:val="24"/>
          <w:szCs w:val="24"/>
        </w:rPr>
      </w:pPr>
      <w:r w:rsidRPr="004E7BB6">
        <w:rPr>
          <w:bCs/>
          <w:sz w:val="24"/>
          <w:szCs w:val="24"/>
        </w:rPr>
        <w:t>2.1.1</w:t>
      </w:r>
      <w:r w:rsidRPr="004E7BB6">
        <w:rPr>
          <w:bCs/>
          <w:sz w:val="24"/>
          <w:szCs w:val="24"/>
        </w:rPr>
        <w:tab/>
        <w:t>Dílčí smlouvy budou uzavírány výhradně v souladu s podmínkami této Smlouvy.</w:t>
      </w:r>
    </w:p>
    <w:p w:rsidR="00F30FD4" w:rsidRPr="004E7BB6" w:rsidP="00F30FD4">
      <w:pPr>
        <w:pStyle w:val="Odstavecseseznamem1"/>
        <w:autoSpaceDE w:val="0"/>
        <w:autoSpaceDN w:val="0"/>
        <w:adjustRightInd w:val="0"/>
        <w:spacing w:after="120"/>
        <w:ind w:left="0"/>
        <w:jc w:val="both"/>
        <w:rPr>
          <w:bCs/>
          <w:sz w:val="24"/>
          <w:szCs w:val="24"/>
        </w:rPr>
      </w:pPr>
      <w:r w:rsidRPr="004E7BB6">
        <w:rPr>
          <w:bCs/>
          <w:sz w:val="24"/>
          <w:szCs w:val="24"/>
        </w:rPr>
        <w:t>2.1.2</w:t>
      </w:r>
      <w:r w:rsidRPr="004E7BB6">
        <w:rPr>
          <w:bCs/>
          <w:sz w:val="24"/>
          <w:szCs w:val="24"/>
        </w:rPr>
        <w:tab/>
        <w:t>Dílčí smlouvy jsou jednotlivými veřejnými zakázkami zadávanými na základě této Smlouvy ve smyslu § 11 zákona č. 137/2006 Sb., o veřejných zakázkách (dále jen „ZVZ“). Dílčí smlouvy budou uzavírány postupem uvedeným v § 92 odst. 1 písm. b) ZVZ, tj. na základě písemné výzvy Objednatele k podání nabídky.</w:t>
      </w:r>
    </w:p>
    <w:p w:rsidR="00F30FD4" w:rsidRPr="004E7BB6" w:rsidP="00F30FD4">
      <w:pPr>
        <w:pStyle w:val="Odstavecseseznamem1"/>
        <w:autoSpaceDE w:val="0"/>
        <w:autoSpaceDN w:val="0"/>
        <w:adjustRightInd w:val="0"/>
        <w:spacing w:after="120"/>
        <w:ind w:left="-180"/>
        <w:jc w:val="both"/>
        <w:rPr>
          <w:bCs/>
          <w:sz w:val="24"/>
          <w:szCs w:val="24"/>
        </w:rPr>
      </w:pPr>
    </w:p>
    <w:p w:rsidR="00F30FD4" w:rsidRPr="004E7BB6" w:rsidP="00F30FD4">
      <w:pPr>
        <w:pStyle w:val="Odstavecseseznamem1"/>
        <w:autoSpaceDE w:val="0"/>
        <w:autoSpaceDN w:val="0"/>
        <w:adjustRightInd w:val="0"/>
        <w:spacing w:after="120"/>
        <w:ind w:left="0"/>
        <w:jc w:val="both"/>
        <w:rPr>
          <w:bCs/>
          <w:sz w:val="24"/>
          <w:szCs w:val="24"/>
        </w:rPr>
      </w:pPr>
      <w:r w:rsidRPr="004E7BB6">
        <w:rPr>
          <w:b/>
          <w:bCs/>
          <w:sz w:val="24"/>
          <w:szCs w:val="24"/>
        </w:rPr>
        <w:t xml:space="preserve">2.2 Podání nabídky </w:t>
      </w:r>
    </w:p>
    <w:p w:rsidR="00F30FD4" w:rsidRPr="004E7BB6" w:rsidP="00F30FD4">
      <w:pPr>
        <w:shd w:val="clear" w:color="auto" w:fill="FFFFFF"/>
        <w:tabs>
          <w:tab w:val="left" w:pos="-180"/>
        </w:tabs>
        <w:spacing w:before="14" w:line="269" w:lineRule="exact"/>
        <w:jc w:val="both"/>
        <w:rPr>
          <w:rFonts w:ascii="Times New Roman" w:hAnsi="Times New Roman"/>
          <w:sz w:val="24"/>
          <w:szCs w:val="24"/>
        </w:rPr>
      </w:pPr>
      <w:r w:rsidRPr="004E7BB6">
        <w:rPr>
          <w:rFonts w:ascii="Times New Roman" w:hAnsi="Times New Roman"/>
          <w:sz w:val="24"/>
          <w:szCs w:val="24"/>
        </w:rPr>
        <w:t xml:space="preserve">2.2.1 Nejdéle do 10 pracovních dnů po obdržení písemné výzvy Objednatele k podání nabídky ve smyslu § 92 odst. 1 písm. b) ZVZ je Poskytovatel povinen předložit Objednateli návrh Dílčí smlouvy podepsaný osobou oprávněnou jednat jménem či za Poskytovatele. </w:t>
      </w:r>
    </w:p>
    <w:p w:rsidR="00F30FD4" w:rsidRPr="004E7BB6" w:rsidP="00F30FD4">
      <w:pPr>
        <w:shd w:val="clear" w:color="auto" w:fill="FFFFFF"/>
        <w:tabs>
          <w:tab w:val="left" w:pos="-180"/>
        </w:tabs>
        <w:spacing w:before="14" w:line="269" w:lineRule="exact"/>
        <w:jc w:val="both"/>
        <w:rPr>
          <w:rFonts w:ascii="Times New Roman" w:hAnsi="Times New Roman"/>
          <w:sz w:val="24"/>
          <w:szCs w:val="24"/>
        </w:rPr>
      </w:pPr>
    </w:p>
    <w:p w:rsidR="00F30FD4" w:rsidRPr="004E7BB6" w:rsidP="00F30FD4">
      <w:pPr>
        <w:shd w:val="clear" w:color="auto" w:fill="FFFFFF"/>
        <w:tabs>
          <w:tab w:val="left" w:pos="-180"/>
        </w:tabs>
        <w:spacing w:before="14" w:line="269" w:lineRule="exact"/>
        <w:jc w:val="both"/>
        <w:rPr>
          <w:rFonts w:ascii="Times New Roman" w:hAnsi="Times New Roman"/>
          <w:color w:val="000000"/>
          <w:sz w:val="24"/>
          <w:szCs w:val="24"/>
        </w:rPr>
      </w:pPr>
      <w:r w:rsidRPr="004E7BB6">
        <w:rPr>
          <w:rFonts w:ascii="Times New Roman" w:hAnsi="Times New Roman"/>
          <w:sz w:val="24"/>
          <w:szCs w:val="24"/>
        </w:rPr>
        <w:t xml:space="preserve">2.2.2 Součástí návrhu Dílčí smlouvy bude objem prací odpovídající předmětu dílčího plnění vymezenému ve výzvě Objednatele, a to za jednotlivé pozice, vyjádřený v počtu člověkodnů a </w:t>
      </w:r>
      <w:r w:rsidRPr="004E7BB6">
        <w:rPr>
          <w:rFonts w:ascii="Times New Roman" w:hAnsi="Times New Roman"/>
          <w:sz w:val="24"/>
          <w:szCs w:val="24"/>
        </w:rPr>
        <w:t>naceněný</w:t>
      </w:r>
      <w:r w:rsidRPr="004E7BB6">
        <w:rPr>
          <w:rFonts w:ascii="Times New Roman" w:hAnsi="Times New Roman"/>
          <w:sz w:val="24"/>
          <w:szCs w:val="24"/>
        </w:rPr>
        <w:t xml:space="preserve"> dle čl. III této Smlouvy. </w:t>
      </w:r>
    </w:p>
    <w:p w:rsidR="00F30FD4" w:rsidRPr="004E7BB6" w:rsidP="00F30FD4">
      <w:pPr>
        <w:pStyle w:val="Odstavecseseznamem1"/>
        <w:autoSpaceDE w:val="0"/>
        <w:autoSpaceDN w:val="0"/>
        <w:adjustRightInd w:val="0"/>
        <w:spacing w:after="120"/>
        <w:ind w:left="0"/>
        <w:jc w:val="both"/>
        <w:rPr>
          <w:b/>
          <w:bCs/>
          <w:sz w:val="24"/>
          <w:szCs w:val="24"/>
        </w:rPr>
      </w:pPr>
    </w:p>
    <w:p w:rsidR="00F30FD4" w:rsidRPr="004E7BB6" w:rsidP="00F30FD4">
      <w:pPr>
        <w:pStyle w:val="Odstavecseseznamem1"/>
        <w:autoSpaceDE w:val="0"/>
        <w:autoSpaceDN w:val="0"/>
        <w:adjustRightInd w:val="0"/>
        <w:spacing w:after="120"/>
        <w:ind w:left="0"/>
        <w:jc w:val="both"/>
        <w:rPr>
          <w:b/>
          <w:bCs/>
          <w:sz w:val="24"/>
          <w:szCs w:val="24"/>
        </w:rPr>
      </w:pPr>
      <w:r w:rsidRPr="004E7BB6">
        <w:rPr>
          <w:b/>
          <w:bCs/>
          <w:sz w:val="24"/>
          <w:szCs w:val="24"/>
        </w:rPr>
        <w:t>2.3 Doba trvání a zánik Dílčích smluv</w:t>
      </w:r>
    </w:p>
    <w:p w:rsidR="00F30FD4" w:rsidRPr="004E7BB6" w:rsidP="00F30FD4">
      <w:pPr>
        <w:widowControl w:val="0"/>
        <w:shd w:val="clear" w:color="auto" w:fill="FFFFFF"/>
        <w:tabs>
          <w:tab w:val="left" w:pos="0"/>
        </w:tabs>
        <w:autoSpaceDE w:val="0"/>
        <w:autoSpaceDN w:val="0"/>
        <w:adjustRightInd w:val="0"/>
        <w:spacing w:before="254" w:line="274" w:lineRule="exact"/>
        <w:jc w:val="both"/>
        <w:rPr>
          <w:rFonts w:ascii="Times New Roman" w:hAnsi="Times New Roman"/>
          <w:color w:val="000000"/>
          <w:spacing w:val="-4"/>
          <w:sz w:val="24"/>
          <w:szCs w:val="24"/>
        </w:rPr>
      </w:pPr>
      <w:r w:rsidRPr="004E7BB6">
        <w:rPr>
          <w:rFonts w:ascii="Times New Roman" w:hAnsi="Times New Roman"/>
          <w:bCs/>
          <w:sz w:val="24"/>
          <w:szCs w:val="24"/>
        </w:rPr>
        <w:t xml:space="preserve">2.3.1 </w:t>
      </w:r>
      <w:r w:rsidRPr="004E7BB6">
        <w:rPr>
          <w:rFonts w:ascii="Times New Roman" w:hAnsi="Times New Roman"/>
          <w:color w:val="000000"/>
          <w:spacing w:val="-1"/>
          <w:sz w:val="24"/>
          <w:szCs w:val="24"/>
        </w:rPr>
        <w:t xml:space="preserve">Jednotlivé Dílčí smlouvy zanikají řádným a včasným splněním nebo </w:t>
      </w:r>
      <w:r w:rsidRPr="004E7BB6">
        <w:rPr>
          <w:rFonts w:ascii="Times New Roman" w:hAnsi="Times New Roman"/>
          <w:color w:val="000000"/>
          <w:spacing w:val="-4"/>
          <w:sz w:val="24"/>
          <w:szCs w:val="24"/>
        </w:rPr>
        <w:t>z důvodů níže uvedených.</w:t>
      </w:r>
    </w:p>
    <w:p w:rsidR="00F30FD4" w:rsidRPr="004E7BB6" w:rsidP="00F30FD4">
      <w:pPr>
        <w:widowControl w:val="0"/>
        <w:shd w:val="clear" w:color="auto" w:fill="FFFFFF"/>
        <w:tabs>
          <w:tab w:val="left" w:pos="0"/>
        </w:tabs>
        <w:autoSpaceDE w:val="0"/>
        <w:autoSpaceDN w:val="0"/>
        <w:adjustRightInd w:val="0"/>
        <w:spacing w:before="254" w:line="274" w:lineRule="exact"/>
        <w:jc w:val="both"/>
        <w:rPr>
          <w:rFonts w:ascii="Times New Roman" w:hAnsi="Times New Roman"/>
          <w:color w:val="000000"/>
          <w:spacing w:val="-4"/>
          <w:sz w:val="24"/>
          <w:szCs w:val="24"/>
        </w:rPr>
      </w:pPr>
    </w:p>
    <w:p w:rsidR="00F30FD4" w:rsidRPr="004E7BB6" w:rsidP="00F30FD4">
      <w:pPr>
        <w:widowControl w:val="0"/>
        <w:numPr>
          <w:ilvl w:val="2"/>
          <w:numId w:val="4"/>
        </w:numPr>
        <w:tabs>
          <w:tab w:val="num" w:pos="-180"/>
          <w:tab w:val="left" w:pos="426"/>
          <w:tab w:val="left" w:pos="720"/>
          <w:tab w:val="clear" w:pos="1146"/>
        </w:tabs>
        <w:autoSpaceDE w:val="0"/>
        <w:autoSpaceDN w:val="0"/>
        <w:adjustRightInd w:val="0"/>
        <w:spacing w:after="120" w:line="240" w:lineRule="auto"/>
        <w:ind w:left="0" w:right="70" w:firstLine="0"/>
        <w:jc w:val="both"/>
        <w:rPr>
          <w:rFonts w:ascii="Times New Roman" w:hAnsi="Times New Roman"/>
          <w:sz w:val="24"/>
          <w:szCs w:val="24"/>
        </w:rPr>
      </w:pPr>
      <w:r w:rsidRPr="004E7BB6">
        <w:rPr>
          <w:rFonts w:ascii="Times New Roman" w:hAnsi="Times New Roman"/>
          <w:sz w:val="24"/>
          <w:szCs w:val="24"/>
        </w:rPr>
        <w:t xml:space="preserve">Smluvní strany jsou oprávněny odstoupit od Dílčí smlouvy z důvodů uvedených v zákoně a dále z důvodu podstatného porušení Dílčí smlouvy ve smyslu ustanovení § 2002 zákona č. 89/2012 Sb., občanský zákoník (dále jen „občanský zákoník“), pokud podstatné porušení Dílčí smlouvy, které je důvodem pro odstoupení od Dílčí smlouvy, nebylo způsobeno okolnostmi vylučujícími odpovědnost dle ustanovení § 2913 odst. 2 občanského zákoníku. </w:t>
      </w:r>
    </w:p>
    <w:p w:rsidR="00F30FD4" w:rsidRPr="004E7BB6" w:rsidP="00F30FD4">
      <w:pPr>
        <w:tabs>
          <w:tab w:val="left" w:pos="426"/>
          <w:tab w:val="left" w:pos="1560"/>
        </w:tabs>
        <w:autoSpaceDE w:val="0"/>
        <w:autoSpaceDN w:val="0"/>
        <w:adjustRightInd w:val="0"/>
        <w:spacing w:after="120"/>
        <w:ind w:right="68"/>
        <w:jc w:val="both"/>
        <w:rPr>
          <w:rFonts w:ascii="Times New Roman" w:hAnsi="Times New Roman"/>
          <w:sz w:val="24"/>
          <w:szCs w:val="24"/>
        </w:rPr>
      </w:pPr>
      <w:r w:rsidRPr="004E7BB6">
        <w:rPr>
          <w:rFonts w:ascii="Times New Roman" w:hAnsi="Times New Roman"/>
          <w:sz w:val="24"/>
          <w:szCs w:val="24"/>
        </w:rPr>
        <w:t>2.3.3 Za podstatné porušení Dílčí smlouvy ze strany Objednatele se považuje neplnění závazků spočívajících zejména v neuhrazení dlužné částky po dobu 60 dnů po splatnosti daňového dokladu (faktury).</w:t>
      </w:r>
    </w:p>
    <w:p w:rsidR="00F30FD4" w:rsidRPr="004E7BB6" w:rsidP="00F30FD4">
      <w:pPr>
        <w:widowControl w:val="0"/>
        <w:tabs>
          <w:tab w:val="left" w:pos="426"/>
          <w:tab w:val="left" w:pos="156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2.3.4 Za podstatné porušení Dílčí smlouvy ze strany Poskytovatele se považuje neplnění závazků spočívajících zejména v nedodržení termínu plnění stanoveného v Dílčí smlouvě delší než 14 dnů či v opakovaném prodlení s plněním povinnosti z Dílčí smlouvy v průběhu 1 měsíce nebo realizace předmětu Dílčí smlouvy v rozporu s ustanoveními Dílčí smlouvy či právních předpisů.</w:t>
      </w:r>
    </w:p>
    <w:p w:rsidR="00F30FD4" w:rsidRPr="004E7BB6" w:rsidP="00F30FD4">
      <w:pPr>
        <w:widowControl w:val="0"/>
        <w:tabs>
          <w:tab w:val="left" w:pos="426"/>
          <w:tab w:val="left" w:pos="156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2.3.5 Objednatel je oprávněn odstoupit i od jednotlivých částí plnění.</w:t>
      </w:r>
    </w:p>
    <w:p w:rsidR="00F30FD4" w:rsidRPr="004E7BB6" w:rsidP="00F30FD4">
      <w:pPr>
        <w:widowControl w:val="0"/>
        <w:tabs>
          <w:tab w:val="left" w:pos="426"/>
          <w:tab w:val="left" w:pos="156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2.3.6 Odstoupení od Dílčí smlouvy nabude účinnosti dnem doručení písemného oznámení o odstoupení druhé Smluvní straně.</w:t>
      </w:r>
    </w:p>
    <w:p w:rsidR="00F30FD4" w:rsidRPr="004E7BB6" w:rsidP="00F30FD4">
      <w:pPr>
        <w:widowControl w:val="0"/>
        <w:tabs>
          <w:tab w:val="left" w:pos="426"/>
          <w:tab w:val="left" w:pos="225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2.3.7 V případě odstoupení od Dílčí smlouvy z výše uvedených důvodů má Objednatel v každém případě nárok na náhradu prokázaných nákladů, které vzniknou v souvislosti s náhradním řešením, zejména nákladů, které mohou vzniknout v souvislosti s pověřením jiného dodavatele služeb, jež jsou předmětem Dílčí smlouvy.</w:t>
      </w:r>
    </w:p>
    <w:p w:rsidR="00F30FD4" w:rsidRPr="004E7BB6" w:rsidP="00F30FD4">
      <w:pPr>
        <w:widowControl w:val="0"/>
        <w:tabs>
          <w:tab w:val="left" w:pos="426"/>
          <w:tab w:val="left" w:pos="225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2.3.8  Dílčí smlouvy lze ukončit oboustrannou dohodou smluvních stran.</w:t>
      </w:r>
    </w:p>
    <w:p w:rsidR="00F30FD4" w:rsidRPr="004E7BB6" w:rsidP="00F30FD4">
      <w:pPr>
        <w:widowControl w:val="0"/>
        <w:tabs>
          <w:tab w:val="left" w:pos="426"/>
          <w:tab w:val="left" w:pos="2250"/>
        </w:tabs>
        <w:autoSpaceDE w:val="0"/>
        <w:autoSpaceDN w:val="0"/>
        <w:adjustRightInd w:val="0"/>
        <w:spacing w:after="120"/>
        <w:ind w:left="-180" w:right="70"/>
        <w:jc w:val="both"/>
        <w:rPr>
          <w:rFonts w:ascii="Times New Roman" w:hAnsi="Times New Roman"/>
          <w:b/>
          <w:sz w:val="24"/>
          <w:szCs w:val="24"/>
        </w:rPr>
      </w:pPr>
    </w:p>
    <w:p w:rsidR="00F30FD4" w:rsidRPr="004E7BB6" w:rsidP="00F30FD4">
      <w:pPr>
        <w:pStyle w:val="Odstavecseseznamem1"/>
        <w:spacing w:after="120"/>
        <w:ind w:left="0"/>
        <w:rPr>
          <w:b/>
          <w:sz w:val="24"/>
          <w:szCs w:val="24"/>
        </w:rPr>
      </w:pPr>
      <w:r w:rsidRPr="004E7BB6">
        <w:rPr>
          <w:b/>
          <w:sz w:val="24"/>
          <w:szCs w:val="24"/>
        </w:rPr>
        <w:t>2.4 Místo plnění</w:t>
      </w:r>
    </w:p>
    <w:p w:rsidR="00F30FD4" w:rsidRPr="004E7BB6" w:rsidP="00F30FD4">
      <w:pPr>
        <w:pStyle w:val="Odstavecseseznamem1"/>
        <w:spacing w:after="120"/>
        <w:ind w:left="0"/>
        <w:jc w:val="both"/>
        <w:rPr>
          <w:sz w:val="24"/>
          <w:szCs w:val="24"/>
        </w:rPr>
      </w:pPr>
      <w:r w:rsidRPr="004E7BB6">
        <w:rPr>
          <w:sz w:val="24"/>
          <w:szCs w:val="24"/>
        </w:rPr>
        <w:t>Místem plnění předmětu Dílčí smlouvy bude území České republiky.</w:t>
      </w:r>
    </w:p>
    <w:p w:rsidR="00F30FD4" w:rsidRPr="004E7BB6" w:rsidP="00F30FD4">
      <w:pPr>
        <w:pStyle w:val="Odstavecseseznamem1"/>
        <w:spacing w:after="120"/>
        <w:ind w:left="0"/>
        <w:rPr>
          <w:b/>
          <w:sz w:val="24"/>
          <w:szCs w:val="24"/>
        </w:rPr>
      </w:pPr>
    </w:p>
    <w:p w:rsidR="00F30FD4" w:rsidRPr="004E7BB6" w:rsidP="00F30FD4">
      <w:pPr>
        <w:pStyle w:val="Odstavecseseznamem1"/>
        <w:spacing w:after="120"/>
        <w:ind w:left="0"/>
        <w:rPr>
          <w:b/>
          <w:sz w:val="24"/>
          <w:szCs w:val="24"/>
        </w:rPr>
      </w:pPr>
      <w:r w:rsidRPr="004E7BB6">
        <w:rPr>
          <w:b/>
          <w:sz w:val="24"/>
          <w:szCs w:val="24"/>
        </w:rPr>
        <w:t>2.5 Způsob provedení Služeb a záruky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 Objednatel je povinen poskytovat Poskytovateli v přiměřené lhůtě veškerou součinnost, zejména správné a úplné informace a materiály nebo jiná potřebná plnění přiměřeně požadovaná pro plnění závazků Poskytovatele dle Dílčí smlouvy. Shledá-li Objednatel, že určité informace jím poskytnuté jsou nepravdivé nebo zavádějící, neprodleně o této skutečnosti uvědomí Poskytovatele.</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2.5.2 Objednatel zajistí Poskytovateli přístup do informačního systému Platební agentury (dále jen „IS“) za účelem prohlížení a testování systému. Poskytovatel není oprávněn v IS provádět jakékoliv úpravy a Objednatel nebo Platební agentura jsou oprávněni vytvořit v IS překážky bránící v provádění úprav ze strany Poskytovatele. Dále je Objednatel povinen zajistit Poskytovateli přístup do prostor Platební agentury a prohlídku majetku Platební agentury včetně jejích regionálních pracovišť, a to jak majetku hmotného, tak nehmotného.</w:t>
      </w:r>
    </w:p>
    <w:p w:rsidR="00F30FD4" w:rsidRPr="004E7BB6" w:rsidP="00F30FD4">
      <w:pPr>
        <w:spacing w:after="120"/>
        <w:jc w:val="both"/>
        <w:rPr>
          <w:rFonts w:ascii="Times New Roman" w:hAnsi="Times New Roman"/>
          <w:color w:val="FF0000"/>
          <w:sz w:val="24"/>
          <w:szCs w:val="24"/>
        </w:rPr>
      </w:pPr>
      <w:r w:rsidRPr="004E7BB6">
        <w:rPr>
          <w:rFonts w:ascii="Times New Roman" w:hAnsi="Times New Roman"/>
          <w:sz w:val="24"/>
          <w:szCs w:val="24"/>
        </w:rPr>
        <w:t xml:space="preserve">2.5.3 Poskytovatel se zavazuje zajistit poskytování Služeb dostatečným počtem kvalifikovaných a specializovaných osob (specialistů) tak, aby plnění předmětu veřejné zakázky bylo provedeno v dohodnuté lhůtě, přičemž Poskytovatel je povinen zajistit, aby bylo plnění veřejné zakázky </w:t>
      </w:r>
      <w:r w:rsidRPr="004E7BB6">
        <w:rPr>
          <w:rFonts w:ascii="Times New Roman" w:hAnsi="Times New Roman"/>
          <w:color w:val="FF0000"/>
          <w:sz w:val="24"/>
          <w:szCs w:val="24"/>
        </w:rPr>
        <w:t xml:space="preserve">(s výjimkou pozice „asistent auditora“) </w:t>
      </w:r>
      <w:r w:rsidRPr="004E7BB6">
        <w:rPr>
          <w:rFonts w:ascii="Times New Roman" w:hAnsi="Times New Roman"/>
          <w:sz w:val="24"/>
          <w:szCs w:val="24"/>
        </w:rPr>
        <w:t xml:space="preserve">realizováno osobami, prostřednictvím nichž byly prokazovány kvalifikační předpoklady. </w:t>
      </w:r>
      <w:r w:rsidRPr="004E7BB6">
        <w:rPr>
          <w:rFonts w:ascii="Times New Roman" w:hAnsi="Times New Roman"/>
          <w:color w:val="000000"/>
          <w:sz w:val="24"/>
          <w:szCs w:val="24"/>
        </w:rPr>
        <w:t xml:space="preserve">Plnění jinými osobami bude Objednatel akceptovat pouze v případě, že Poskytovatel prokáže, že tyto osoby splňují kvalifikaci požadovanou v příslušné zadávací dokumentaci. </w:t>
      </w:r>
      <w:r w:rsidRPr="004E7BB6">
        <w:rPr>
          <w:rFonts w:ascii="Times New Roman" w:hAnsi="Times New Roman"/>
          <w:color w:val="FF0000"/>
          <w:sz w:val="24"/>
          <w:szCs w:val="24"/>
        </w:rPr>
        <w:t xml:space="preserve">Plnění odpovídající pozici „asistent auditora“ je Poskytovatel povinen realizovat osobami s dosaženým vysokoškolským vzděláním, nejméně bakalářského typu.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2.5.4 Pokud bude Poskytovatel plnit veřejnou zakázku prostřednictvím subdodavatele (činnost auditora ICT a asistenta auditora), uvede Poskytovatel v návrhu Dílčí smlouvy  (resp. nabídky ve smyslu ustanovení § 92 odst. 1 písm. b) ZVZ) identifikační údaje subdodavatele a doloží smlouvu uzavřenou se subdodavatelem ohledně příslušného plnění. Tato smlouva se subdodavatelem bude obsahovat přesné vymezení činností, které bude v souladu s podmínkami Dílčí smlouvy subdodavatel vykonávat.</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2.5.5 Poskytovatel je povinen v případě plnění Dílčí smlouvy poskytovat Objednateli měsíční výkazy skutečně odvedené práce (</w:t>
      </w:r>
      <w:r w:rsidRPr="004E7BB6">
        <w:rPr>
          <w:rFonts w:ascii="Times New Roman" w:hAnsi="Times New Roman"/>
          <w:sz w:val="24"/>
          <w:szCs w:val="24"/>
        </w:rPr>
        <w:t>timesheety</w:t>
      </w:r>
      <w:r w:rsidRPr="004E7BB6">
        <w:rPr>
          <w:rFonts w:ascii="Times New Roman" w:hAnsi="Times New Roman"/>
          <w:sz w:val="24"/>
          <w:szCs w:val="24"/>
        </w:rPr>
        <w:t xml:space="preserve">) jednotlivých členů auditního týmu se stručným popisem odvedených </w:t>
      </w:r>
      <w:r w:rsidRPr="004E7BB6">
        <w:rPr>
          <w:rFonts w:ascii="Times New Roman" w:hAnsi="Times New Roman"/>
          <w:sz w:val="24"/>
          <w:szCs w:val="24"/>
        </w:rPr>
        <w:t>prácí</w:t>
      </w:r>
      <w:r w:rsidRPr="004E7BB6">
        <w:rPr>
          <w:rFonts w:ascii="Times New Roman" w:hAnsi="Times New Roman"/>
          <w:sz w:val="24"/>
          <w:szCs w:val="24"/>
        </w:rPr>
        <w:t xml:space="preserve">, a to vždy do 20. dne následujícího kalendářního měsíce.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2.5.6 Poskytovatel má povinnost bezodkladně na vyzvání informovat Objednatele o aktuálním stavu prací v rámci plnění předmětu veřejné zakázky.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2.5.7 Vlastníkem předmětu plnění do okamžiku jeho předání je Poskytovatel, který také nese nebezpečí škody na předmětu plnění do okamžiku jeho předání.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2.5.8 Veškeré výstupy plnění Poskytovatele dle Dílčí smlouvy včetně pracovní komunikace mezi Poskytovatelem a Objednatelem budou vedeny v českém jazyce. Tyto výstupy budou vždy následně verifikovány předáním listinné podoby, opatřené vlastnoručním podpisem manažera auditu, jenž splňuje požadavky stanovené v čl. 2.5.3, a to bez zbytečného prodlení. Jakékoliv výstupy plnění Poskytovatele dle Dílčí smlouvy, s výjimkou listinné podoby takovéhoto výstupu opatřené vlastnoručním podpisem manažera auditu, se považují za předběžné.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2.5.9 Poskytovatel se mimo jiné zavazuje v rámci poskytování součinnosti Objednateli:</w:t>
      </w:r>
    </w:p>
    <w:p w:rsidR="00F30FD4" w:rsidRPr="004E7BB6" w:rsidP="00F30FD4">
      <w:pPr>
        <w:tabs>
          <w:tab w:val="left" w:pos="1080"/>
          <w:tab w:val="num" w:pos="7740"/>
        </w:tabs>
        <w:spacing w:after="120"/>
        <w:ind w:left="720"/>
        <w:jc w:val="both"/>
        <w:rPr>
          <w:rFonts w:ascii="Times New Roman" w:hAnsi="Times New Roman"/>
          <w:sz w:val="24"/>
          <w:szCs w:val="24"/>
        </w:rPr>
      </w:pPr>
      <w:r w:rsidRPr="004E7BB6">
        <w:rPr>
          <w:rFonts w:ascii="Times New Roman" w:hAnsi="Times New Roman"/>
          <w:sz w:val="24"/>
          <w:szCs w:val="24"/>
        </w:rPr>
        <w:t>a) oznámit Objednateli všechny změny a skutečnosti, které mají vliv na plnění Služeb, které jsou předmětem Dílčí smlouvy;</w:t>
      </w:r>
    </w:p>
    <w:p w:rsidR="00F30FD4" w:rsidRPr="004E7BB6" w:rsidP="00F30FD4">
      <w:pPr>
        <w:tabs>
          <w:tab w:val="left" w:pos="1080"/>
          <w:tab w:val="num" w:pos="7740"/>
        </w:tabs>
        <w:spacing w:after="120"/>
        <w:ind w:left="720"/>
        <w:jc w:val="both"/>
        <w:rPr>
          <w:rFonts w:ascii="Times New Roman" w:hAnsi="Times New Roman"/>
          <w:sz w:val="24"/>
          <w:szCs w:val="24"/>
        </w:rPr>
      </w:pPr>
      <w:r w:rsidRPr="004E7BB6">
        <w:rPr>
          <w:rFonts w:ascii="Times New Roman" w:hAnsi="Times New Roman"/>
          <w:sz w:val="24"/>
          <w:szCs w:val="24"/>
        </w:rPr>
        <w:t>b) vést přehledně dokumentaci související s plněním Dílčí smlouvy.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2.5.10 Poskytovatel je povinen archivovat výstupy z fakturovaných činností v nezměněné podobě. Jedná se mimo jiné o archivaci: </w:t>
      </w:r>
    </w:p>
    <w:p w:rsidR="00F30FD4" w:rsidRPr="004E7BB6" w:rsidP="00F30FD4">
      <w:pPr>
        <w:pStyle w:val="Odstavecseseznamem1"/>
        <w:spacing w:after="120"/>
        <w:jc w:val="both"/>
        <w:rPr>
          <w:sz w:val="24"/>
          <w:szCs w:val="24"/>
        </w:rPr>
      </w:pPr>
      <w:r w:rsidRPr="004E7BB6">
        <w:rPr>
          <w:sz w:val="24"/>
          <w:szCs w:val="24"/>
        </w:rPr>
        <w:t>a) veškeré dokumentace související s vykonanou auditní činností, a to po dobu 5 let od ukončení této Smlouvy; tuto dokumentaci je Poskytovatel na vyžádání povinen Objednateli poskytnout;</w:t>
      </w:r>
    </w:p>
    <w:p w:rsidR="00F30FD4" w:rsidRPr="004E7BB6" w:rsidP="00F30FD4">
      <w:pPr>
        <w:pStyle w:val="Odstavecseseznamem1"/>
        <w:spacing w:after="120"/>
        <w:jc w:val="both"/>
        <w:rPr>
          <w:sz w:val="24"/>
          <w:szCs w:val="24"/>
        </w:rPr>
      </w:pPr>
      <w:r w:rsidRPr="004E7BB6">
        <w:rPr>
          <w:sz w:val="24"/>
          <w:szCs w:val="24"/>
        </w:rPr>
        <w:t>b) dokumentace související s Dílčí smlouvou a veškerých účetních dokladů souvisejících s plněním Dílčí smlouvy v souladu se zákonem č. 563/1991 Sb., o účetnictví, ve znění pozdějších předpisů.</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2.5.11 Poskytovatel se zavazuje, že zabezpečí vyloučení podjatosti a střetu zájmů u členů auditního týmu.</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2.5.12 Poskytovatel se zavazuje poskytnout plnění dle Dílčí smlouvy v kvalitě minimálně odpovídající právním předpisům, mezinárodním standardům auditorské činnosti a požadavkům Evropské komise pro práci certifikačních subjektů, jež byly Objednatelem Poskytovateli včas sděleny.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2.5.13 Poskytovatel se zavazuje umožnit na výzvu Objednatele účast Objednatele na kontrolách prováděných Poskytovatelem.</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2.5.14 Poskytovatel se zavazuje nepřevést na třetí stranu práva a povinnosti vyplývající z Dílčí smlouvy bez souhlasu Objednatele.</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2.5.15 Poskytovatel prohlašuje, že předmět Dílčí smlouvy nebude zatížen právy třetích osob. V opačném případě bude Poskytovatel plně zodpovědný za následky porušení těchto práv.</w:t>
      </w:r>
    </w:p>
    <w:p w:rsidR="00F30FD4" w:rsidRPr="004E7BB6" w:rsidP="00F30FD4">
      <w:pPr>
        <w:spacing w:after="120"/>
        <w:jc w:val="both"/>
        <w:rPr>
          <w:rFonts w:ascii="Times New Roman" w:hAnsi="Times New Roman"/>
          <w:color w:val="FF0000"/>
          <w:sz w:val="24"/>
          <w:szCs w:val="24"/>
        </w:rPr>
      </w:pPr>
      <w:r w:rsidRPr="004E7BB6">
        <w:rPr>
          <w:rFonts w:ascii="Times New Roman" w:hAnsi="Times New Roman"/>
          <w:color w:val="FF0000"/>
          <w:sz w:val="24"/>
          <w:szCs w:val="24"/>
        </w:rPr>
        <w:t xml:space="preserve">2.5.16 Poskytovatel je povinen na základě požadavku Objednatele zajistit účast svého zástupce na jednáních s odpovědnými orgány Evropské komise. Bude-li se jednání konat mimo území ČR, pak je Poskytovatel oprávněn požadovat po Objednateli proplacení účelně vynaložených cestovních nákladů, a to v rozsahu ubytování, jízdného a stravného (dále jen „cestovní náklady“). Toto právo však Poskytovateli vznikne pouze za předpokladu, že cestovní náklady (včetně jejich výše) budou ze strany Objednatele předem odsouhlaseny. </w:t>
      </w:r>
    </w:p>
    <w:p w:rsidR="00F30FD4" w:rsidRPr="004E7BB6" w:rsidP="00F30FD4">
      <w:pPr>
        <w:spacing w:after="120"/>
        <w:ind w:left="-180"/>
        <w:jc w:val="both"/>
        <w:rPr>
          <w:rFonts w:ascii="Times New Roman" w:hAnsi="Times New Roman"/>
          <w:sz w:val="24"/>
          <w:szCs w:val="24"/>
        </w:rPr>
      </w:pPr>
    </w:p>
    <w:p w:rsidR="00F30FD4" w:rsidRPr="004E7BB6" w:rsidP="00F30FD4">
      <w:pPr>
        <w:spacing w:after="120"/>
        <w:jc w:val="both"/>
        <w:rPr>
          <w:rFonts w:ascii="Times New Roman" w:hAnsi="Times New Roman"/>
          <w:b/>
          <w:sz w:val="24"/>
          <w:szCs w:val="24"/>
        </w:rPr>
      </w:pPr>
      <w:r w:rsidRPr="004E7BB6">
        <w:rPr>
          <w:rFonts w:ascii="Times New Roman" w:hAnsi="Times New Roman"/>
          <w:b/>
          <w:sz w:val="24"/>
          <w:szCs w:val="24"/>
        </w:rPr>
        <w:t>2.6. Platební podmínky</w:t>
      </w:r>
    </w:p>
    <w:p w:rsidR="00F30FD4" w:rsidRPr="004E7BB6" w:rsidP="00F30FD4">
      <w:pPr>
        <w:pStyle w:val="Odstavecseseznamem1"/>
        <w:spacing w:after="120"/>
        <w:ind w:left="0"/>
        <w:jc w:val="both"/>
        <w:rPr>
          <w:sz w:val="24"/>
          <w:szCs w:val="24"/>
        </w:rPr>
      </w:pPr>
      <w:r w:rsidRPr="004E7BB6">
        <w:rPr>
          <w:sz w:val="24"/>
          <w:szCs w:val="24"/>
        </w:rPr>
        <w:t>2.6.1 Platba bude Objednatelem realizována bezhotovostně na základě předložené faktury Poskytovatele splňující náležitosti podle § 28 zákona č. 235/2004 Sb., o DPH, ve znění pozdějších předpisů, a náležitosti obchodní listiny ve smyslu ustanovení § 435 občanského zákoníku, ve znění pozdějších předpisů, na účet číslo</w:t>
      </w:r>
      <w:r w:rsidRPr="004E7BB6">
        <w:rPr>
          <w:sz w:val="24"/>
          <w:szCs w:val="24"/>
          <w:highlight w:val="yellow"/>
        </w:rPr>
        <w:t>……………………………...</w:t>
      </w:r>
      <w:r w:rsidRPr="004E7BB6">
        <w:rPr>
          <w:sz w:val="24"/>
          <w:szCs w:val="24"/>
        </w:rPr>
        <w:t xml:space="preserve">  . </w:t>
      </w:r>
    </w:p>
    <w:p w:rsidR="00F30FD4" w:rsidRPr="004E7BB6" w:rsidP="00F30FD4">
      <w:pPr>
        <w:pStyle w:val="Odstavecseseznamem1"/>
        <w:spacing w:after="120"/>
        <w:ind w:left="0"/>
        <w:jc w:val="both"/>
        <w:rPr>
          <w:sz w:val="24"/>
          <w:szCs w:val="24"/>
        </w:rPr>
      </w:pPr>
      <w:r w:rsidRPr="004E7BB6">
        <w:rPr>
          <w:sz w:val="24"/>
          <w:szCs w:val="24"/>
        </w:rPr>
        <w:t>2.6.2 Splatnost řádně vystaveného daňového dokladu – faktury je ve lhůtě 21 kalendářních dnů od data jejího doručení Objednateli s tím, že souhrnná výše fakturovaných částek nesmí překročit cenu dohodnutou v Dílčí smlouvě.</w:t>
      </w:r>
    </w:p>
    <w:p w:rsidR="00F30FD4" w:rsidRPr="004E7BB6" w:rsidP="00F30FD4">
      <w:pPr>
        <w:pStyle w:val="Odstavecseseznamem1"/>
        <w:autoSpaceDE w:val="0"/>
        <w:autoSpaceDN w:val="0"/>
        <w:adjustRightInd w:val="0"/>
        <w:spacing w:after="120"/>
        <w:ind w:left="0"/>
        <w:jc w:val="both"/>
        <w:rPr>
          <w:sz w:val="24"/>
          <w:szCs w:val="24"/>
        </w:rPr>
      </w:pPr>
      <w:r w:rsidRPr="004E7BB6">
        <w:rPr>
          <w:sz w:val="24"/>
          <w:szCs w:val="24"/>
        </w:rPr>
        <w:t>2.6.3 Překročení smluvené ceny podle Dílčí smlouvy se nepřipouští, cena obsahuje veškeré náklady uchazeče nutné k realizaci předmětu Dílčích smluv.</w:t>
      </w:r>
    </w:p>
    <w:p w:rsidR="00F30FD4" w:rsidRPr="004E7BB6" w:rsidP="00F30FD4">
      <w:pPr>
        <w:pStyle w:val="Odstavecseseznamem1"/>
        <w:autoSpaceDE w:val="0"/>
        <w:autoSpaceDN w:val="0"/>
        <w:adjustRightInd w:val="0"/>
        <w:spacing w:after="120"/>
        <w:ind w:left="0"/>
        <w:jc w:val="both"/>
        <w:rPr>
          <w:sz w:val="24"/>
          <w:szCs w:val="24"/>
        </w:rPr>
      </w:pPr>
      <w:r w:rsidRPr="004E7BB6">
        <w:rPr>
          <w:sz w:val="24"/>
          <w:szCs w:val="24"/>
        </w:rPr>
        <w:t>2.6.4 Cenu je možné změnit pouze v případě, že dojde v průběhu realizace zakázky ke změnám daňových předpisů upravujících výši DPH, a to nejvýše o částku odpovídající této změně. V tom případě jsou Smluvní strany povinny uzavřít písemný dodatek k Dílčí smlouvě.</w:t>
      </w:r>
    </w:p>
    <w:p w:rsidR="00F30FD4" w:rsidRPr="004E7BB6" w:rsidP="00F30FD4">
      <w:pPr>
        <w:pStyle w:val="Odstavecseseznamem1"/>
        <w:autoSpaceDE w:val="0"/>
        <w:autoSpaceDN w:val="0"/>
        <w:adjustRightInd w:val="0"/>
        <w:spacing w:after="120"/>
        <w:ind w:left="0"/>
        <w:jc w:val="both"/>
        <w:rPr>
          <w:sz w:val="24"/>
          <w:szCs w:val="24"/>
        </w:rPr>
      </w:pPr>
      <w:r w:rsidRPr="004E7BB6">
        <w:rPr>
          <w:sz w:val="24"/>
          <w:szCs w:val="24"/>
        </w:rPr>
        <w:t xml:space="preserve">2.6.5 Vyúčtování bude prováděno podle skutečného plnění za jednotlivé pozice a následně v součtu za celý auditní tým. Vyúčtování za jednotlivé pozice bude vypočteno jako počet odpracovaných člověkodnů za daný typ pracovní pozice dle čl. 2.5.5 Dílčí smlouvy násobené sazbou za člověkoden podle čl. III této Smlouvy.  </w:t>
      </w:r>
    </w:p>
    <w:p w:rsidR="00F30FD4" w:rsidRPr="004E7BB6" w:rsidP="00F30FD4">
      <w:pPr>
        <w:pStyle w:val="Odstavecseseznamem1"/>
        <w:autoSpaceDE w:val="0"/>
        <w:autoSpaceDN w:val="0"/>
        <w:adjustRightInd w:val="0"/>
        <w:spacing w:after="120"/>
        <w:ind w:left="0"/>
        <w:jc w:val="both"/>
        <w:rPr>
          <w:sz w:val="24"/>
          <w:szCs w:val="24"/>
        </w:rPr>
      </w:pPr>
      <w:r w:rsidRPr="004E7BB6">
        <w:rPr>
          <w:sz w:val="24"/>
          <w:szCs w:val="24"/>
        </w:rPr>
        <w:t>2.6.6 Právo fakturovat vzniká Poskytovateli po převzetí řádně a včas realizovaného plnění a písemné akceptaci vyúčtování ze strany Objednatele. Objednatel je oprávněn do 10 pracovních dnů od převzetí výsledků plnění uplatnit k výsledkům plnění případné připomínky. V takovém případě je Poskytovatel povinen tyto připomínky do 10 pracovních dnů od jejich doručení vypořádat a provést případné úpravy předaného výsledku plnění.</w:t>
      </w:r>
    </w:p>
    <w:p w:rsidR="00F30FD4" w:rsidRPr="004E7BB6" w:rsidP="00F30FD4">
      <w:pPr>
        <w:pStyle w:val="Odstavecseseznamem1"/>
        <w:spacing w:after="120"/>
        <w:ind w:left="0"/>
        <w:jc w:val="both"/>
        <w:rPr>
          <w:sz w:val="24"/>
          <w:szCs w:val="24"/>
        </w:rPr>
      </w:pPr>
      <w:r w:rsidRPr="004E7BB6">
        <w:rPr>
          <w:sz w:val="24"/>
          <w:szCs w:val="24"/>
        </w:rPr>
        <w:t>2.6.7 Objednatel je dále oprávněn daňový doklad – fakturu Poskytovatele před uplynutím lhůty jeho splatnosti vrátit, aniž by došlo na straně Objednatele k prodlení s úhradou, obsahuje-li nesprávné údaje nebo nedostatečné náležitosti dle uvedených právních předpisů. Ode dne doručení nového, případně opraveného dokladu běží nová lhůta splatnosti v délce 21 dní kalendářních dnů.</w:t>
      </w:r>
    </w:p>
    <w:p w:rsidR="00F30FD4" w:rsidRPr="004E7BB6" w:rsidP="00F30FD4">
      <w:pPr>
        <w:pStyle w:val="Odstavecseseznamem1"/>
        <w:spacing w:after="120"/>
        <w:ind w:left="0"/>
        <w:jc w:val="both"/>
        <w:rPr>
          <w:sz w:val="24"/>
          <w:szCs w:val="24"/>
        </w:rPr>
      </w:pPr>
      <w:r w:rsidRPr="004E7BB6">
        <w:rPr>
          <w:sz w:val="24"/>
          <w:szCs w:val="24"/>
        </w:rPr>
        <w:t>2.6.8 Platby budou probíhat výhradně v Kč a rovněž veškeré cenové údaje budou v této měně.</w:t>
      </w:r>
    </w:p>
    <w:p w:rsidR="00F30FD4" w:rsidRPr="004E7BB6" w:rsidP="00F30FD4">
      <w:pPr>
        <w:pStyle w:val="Odstavecseseznamem1"/>
        <w:spacing w:after="120"/>
        <w:ind w:left="0"/>
        <w:jc w:val="both"/>
        <w:rPr>
          <w:sz w:val="24"/>
          <w:szCs w:val="24"/>
        </w:rPr>
      </w:pPr>
      <w:r w:rsidRPr="004E7BB6">
        <w:rPr>
          <w:sz w:val="24"/>
          <w:szCs w:val="24"/>
        </w:rPr>
        <w:t>2.6.9 Nebudou poskytována jakákoli zálohová plnění.</w:t>
      </w:r>
    </w:p>
    <w:p w:rsidR="00F30FD4" w:rsidRPr="004E7BB6" w:rsidP="00F30FD4">
      <w:pPr>
        <w:pStyle w:val="Odstavecseseznamem1"/>
        <w:spacing w:after="120"/>
        <w:ind w:left="-180"/>
        <w:jc w:val="both"/>
        <w:rPr>
          <w:sz w:val="24"/>
          <w:szCs w:val="24"/>
        </w:rPr>
      </w:pPr>
    </w:p>
    <w:p w:rsidR="00F30FD4" w:rsidRPr="004E7BB6" w:rsidP="00F30FD4">
      <w:pPr>
        <w:spacing w:after="120"/>
        <w:jc w:val="both"/>
        <w:rPr>
          <w:rFonts w:ascii="Times New Roman" w:hAnsi="Times New Roman"/>
          <w:b/>
          <w:sz w:val="24"/>
          <w:szCs w:val="24"/>
        </w:rPr>
      </w:pPr>
      <w:r w:rsidRPr="004E7BB6">
        <w:rPr>
          <w:rFonts w:ascii="Times New Roman" w:hAnsi="Times New Roman"/>
          <w:b/>
          <w:sz w:val="24"/>
          <w:szCs w:val="24"/>
        </w:rPr>
        <w:t>2.7 Sankce – smluvní pokuta a úrok z prodlení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2.7.1 Pokud dále není uvedeno jinak, v případě prodlení s řádným plněním Poskytovatele dle Dílčí smlouvy, činí smluvní pokuta ve prospěch Objednatele 10 000 Kč, a to za každý započatý den prodlení.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2.7.2 V případě porušení povinností uložených Poskytovateli v článku 2.5.3 má Objednatel právo účtovat smluvní pokutu ve výši 100.000,- Kč za každou jednotlivou osobu.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2.7.3 Za každé jednotlivé porušení povinnosti stanovené v čl. 2.5.6 ze strany Poskytovatele má Objednatel právo účtovat smluvní pokutu ve výši 10.000,- Kč.</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2.7.4 V případě porušení jakékoliv povinnosti uložené Poskytovateli v čl. 2.5.14, </w:t>
      </w:r>
      <w:smartTag w:uri="urn:schemas-microsoft-com:office:smarttags" w:element="metricconverter">
        <w:smartTagPr>
          <w:attr w:name="ProductID" w:val="2.9 a"/>
        </w:smartTagPr>
        <w:r w:rsidRPr="004E7BB6">
          <w:rPr>
            <w:rFonts w:ascii="Times New Roman" w:hAnsi="Times New Roman"/>
            <w:sz w:val="24"/>
            <w:szCs w:val="24"/>
          </w:rPr>
          <w:t>2.9 a</w:t>
        </w:r>
      </w:smartTag>
      <w:r w:rsidRPr="004E7BB6">
        <w:rPr>
          <w:rFonts w:ascii="Times New Roman" w:hAnsi="Times New Roman"/>
          <w:sz w:val="24"/>
          <w:szCs w:val="24"/>
        </w:rPr>
        <w:t xml:space="preserve"> 2.10 ze strany Poskytovatele má Objednatel právo účtovat smluvní pokutu ve výši 100.000,- Kč za každý jednotlivý případ porušení.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2.7.5 Při nedodržení termínu splatnosti faktury Objednatele je Poskytovatel oprávněn požadovat úhradu úroku z prodlení. Výše úroku z prodlení se bude řídit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2.7.6 Žádná ze Smluvních stran není zodpovědná za prodlení způsobené prodlením se splněním závazků druhé Smluvní strany.</w:t>
      </w:r>
    </w:p>
    <w:p w:rsidR="00F30FD4" w:rsidRPr="004E7BB6" w:rsidP="00F30FD4">
      <w:pPr>
        <w:widowControl w:val="0"/>
        <w:suppressAutoHyphens/>
        <w:spacing w:after="120"/>
        <w:ind w:left="425" w:right="567"/>
        <w:jc w:val="both"/>
        <w:rPr>
          <w:rFonts w:ascii="Times New Roman" w:hAnsi="Times New Roman"/>
          <w:sz w:val="24"/>
          <w:szCs w:val="24"/>
        </w:rPr>
      </w:pPr>
    </w:p>
    <w:p w:rsidR="00F30FD4" w:rsidRPr="004E7BB6" w:rsidP="00F30FD4">
      <w:pPr>
        <w:pStyle w:val="Odstavecseseznamem1"/>
        <w:spacing w:after="120"/>
        <w:ind w:left="0"/>
        <w:jc w:val="both"/>
        <w:rPr>
          <w:b/>
          <w:sz w:val="24"/>
          <w:szCs w:val="24"/>
        </w:rPr>
      </w:pPr>
      <w:r w:rsidRPr="004E7BB6">
        <w:rPr>
          <w:b/>
          <w:sz w:val="24"/>
          <w:szCs w:val="24"/>
        </w:rPr>
        <w:t>2.8 Náhrada škody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2.8.1 Poskytovatel odpovídá za veškerou škodu způsobenou porušením ustanovení Dílčí smlouvy, opomenutím nebo zásadně nekvalitním prováděním smluvní činnosti, např. jejímž důsledkem by bylo neschválení účetní závěrky platební agentury ze strany Evropské komise, v plné výši. O náhradě škody platí obecná ustanovení občanského zákoníku, v platném znění.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2.8.2 Jakákoliv ustanovení týkající se omezení výše či druhu škody se nepřipouští.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2.8.3 Žádná ze Smluvních stran není zodpovědná za škodu způsobenou prodlením s plněním závazků druhé Smluvní strany.  </w:t>
      </w:r>
    </w:p>
    <w:p w:rsidR="00F30FD4" w:rsidRPr="004E7BB6" w:rsidP="00F30FD4">
      <w:pPr>
        <w:widowControl w:val="0"/>
        <w:tabs>
          <w:tab w:val="left" w:pos="0"/>
          <w:tab w:val="left" w:pos="2250"/>
        </w:tabs>
        <w:autoSpaceDE w:val="0"/>
        <w:autoSpaceDN w:val="0"/>
        <w:adjustRightInd w:val="0"/>
        <w:spacing w:after="120"/>
        <w:ind w:right="70"/>
        <w:jc w:val="both"/>
        <w:rPr>
          <w:rFonts w:ascii="Times New Roman" w:hAnsi="Times New Roman"/>
          <w:sz w:val="24"/>
          <w:szCs w:val="24"/>
        </w:rPr>
      </w:pPr>
    </w:p>
    <w:p w:rsidR="00F30FD4" w:rsidRPr="004E7BB6" w:rsidP="00F30FD4">
      <w:pPr>
        <w:pStyle w:val="Odstavecseseznamem1"/>
        <w:spacing w:after="120"/>
        <w:ind w:left="0"/>
        <w:rPr>
          <w:b/>
          <w:sz w:val="24"/>
          <w:szCs w:val="24"/>
        </w:rPr>
      </w:pPr>
      <w:r w:rsidRPr="004E7BB6">
        <w:rPr>
          <w:b/>
          <w:sz w:val="24"/>
          <w:szCs w:val="24"/>
        </w:rPr>
        <w:t>2.9 Ochrana informací</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2.9.1 Obě Smluvní strany se zavazují, že zachovají informace a zprávy, týkající se vlastní spolupráce a vnitřních záležitostí Smluvních stran a předmětu Dílčí smlouvy jako důvěrné</w:t>
      </w:r>
      <w:r w:rsidRPr="004E7BB6">
        <w:rPr>
          <w:rFonts w:ascii="Times New Roman" w:hAnsi="Times New Roman"/>
          <w:color w:val="000000"/>
          <w:sz w:val="24"/>
          <w:szCs w:val="24"/>
        </w:rPr>
        <w:t>.</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2.9.2 Smluvní strany budou považovat za důvěrné informace a) jako důvěrné označené, b) informace, u kterých se z povahy věci dá předpokládat, že se jedná o informace podléhající závazku mlčenlivosti nebo informace o Objednateli, které by mohly z povahy věci být považovány za důvěrné a které se dozvědí v souvislosti s plněním Dílčí smlouvy. Povinnost poskytovat informace podle zákona č. 106/1999 Sb., o svobodném přístupu k informacím, ve znění pozdějších předpisů, není tímto ustanovením dotčena.</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2.9.3 Smluvní strany se zavazují, že neuvolní třetí osobě informace druhé strany bez jejího souhlasu, a to v jakékoliv formě, a že podniknou všechny nezbytné kroky k zabezpečení těchto informací. Závazek mlčenlivosti a ochrany důvěrných informací zůstává v platnosti po dobu 5 let po ukončení platnosti Dílčí smlouvy.</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 xml:space="preserve">2.9.4 Poskytovatel je povinen zabezpečit veškeré podklady, mající charakter důvěrné informace poskytnuté mu Objednatelem, proti odcizení nebo jinému zneužití. </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2.9.5 Povinnost zachovávat mlčenlivost, o níž se hovoří v tomto článku, se nevztahuje na informace:</w:t>
      </w:r>
    </w:p>
    <w:p w:rsidR="00F30FD4" w:rsidRPr="004E7BB6" w:rsidP="00F30FD4">
      <w:pPr>
        <w:widowControl w:val="0"/>
        <w:numPr>
          <w:ilvl w:val="7"/>
          <w:numId w:val="2"/>
        </w:numPr>
        <w:suppressAutoHyphens/>
        <w:spacing w:after="120" w:line="240" w:lineRule="auto"/>
        <w:ind w:left="1134" w:hanging="425"/>
        <w:jc w:val="both"/>
        <w:rPr>
          <w:rFonts w:ascii="Times New Roman" w:hAnsi="Times New Roman"/>
          <w:sz w:val="24"/>
          <w:szCs w:val="24"/>
        </w:rPr>
      </w:pPr>
      <w:r w:rsidRPr="004E7BB6">
        <w:rPr>
          <w:rFonts w:ascii="Times New Roman" w:hAnsi="Times New Roman"/>
          <w:sz w:val="24"/>
          <w:szCs w:val="24"/>
        </w:rPr>
        <w:t>které jsou nebo se stanou všeobecně a veřejně přístupnými jinak, než porušením ustanovení tohoto článku ze strany Poskytovatele;</w:t>
      </w:r>
    </w:p>
    <w:p w:rsidR="00F30FD4" w:rsidRPr="004E7BB6" w:rsidP="00F30FD4">
      <w:pPr>
        <w:widowControl w:val="0"/>
        <w:numPr>
          <w:ilvl w:val="7"/>
          <w:numId w:val="2"/>
        </w:numPr>
        <w:suppressAutoHyphens/>
        <w:spacing w:after="120" w:line="240" w:lineRule="auto"/>
        <w:ind w:left="1134" w:hanging="425"/>
        <w:jc w:val="both"/>
        <w:rPr>
          <w:rFonts w:ascii="Times New Roman" w:hAnsi="Times New Roman"/>
          <w:sz w:val="24"/>
          <w:szCs w:val="24"/>
        </w:rPr>
      </w:pPr>
      <w:r w:rsidRPr="004E7BB6">
        <w:rPr>
          <w:rFonts w:ascii="Times New Roman" w:hAnsi="Times New Roman"/>
          <w:sz w:val="24"/>
          <w:szCs w:val="24"/>
        </w:rPr>
        <w:t>které jsou Poskytovateli známy a byly mu volně k dispozici ještě před přijetím těchto informací od Objednatele;</w:t>
      </w:r>
    </w:p>
    <w:p w:rsidR="00F30FD4" w:rsidRPr="004E7BB6" w:rsidP="00F30FD4">
      <w:pPr>
        <w:widowControl w:val="0"/>
        <w:numPr>
          <w:ilvl w:val="7"/>
          <w:numId w:val="2"/>
        </w:numPr>
        <w:suppressAutoHyphens/>
        <w:spacing w:after="120" w:line="240" w:lineRule="auto"/>
        <w:ind w:left="1134" w:hanging="425"/>
        <w:jc w:val="both"/>
        <w:rPr>
          <w:rFonts w:ascii="Times New Roman" w:hAnsi="Times New Roman"/>
          <w:sz w:val="24"/>
          <w:szCs w:val="24"/>
        </w:rPr>
      </w:pPr>
      <w:r w:rsidRPr="004E7BB6">
        <w:rPr>
          <w:rFonts w:ascii="Times New Roman" w:hAnsi="Times New Roman"/>
          <w:sz w:val="24"/>
          <w:szCs w:val="24"/>
        </w:rPr>
        <w:t>které budou následně Poskytovateli sděleny bez závazku mlčenlivosti třetí stranou, jež rovněž není ve vztahu k nim nijak vázána;</w:t>
      </w:r>
    </w:p>
    <w:p w:rsidR="00F30FD4" w:rsidRPr="004E7BB6" w:rsidP="00F30FD4">
      <w:pPr>
        <w:widowControl w:val="0"/>
        <w:numPr>
          <w:ilvl w:val="7"/>
          <w:numId w:val="2"/>
        </w:numPr>
        <w:suppressAutoHyphens/>
        <w:spacing w:after="120" w:line="240" w:lineRule="auto"/>
        <w:ind w:left="1134" w:hanging="425"/>
        <w:jc w:val="both"/>
        <w:rPr>
          <w:rFonts w:ascii="Times New Roman" w:hAnsi="Times New Roman"/>
          <w:sz w:val="24"/>
          <w:szCs w:val="24"/>
        </w:rPr>
      </w:pPr>
      <w:r w:rsidRPr="004E7BB6">
        <w:rPr>
          <w:rFonts w:ascii="Times New Roman" w:hAnsi="Times New Roman"/>
          <w:sz w:val="24"/>
          <w:szCs w:val="24"/>
        </w:rPr>
        <w:t>jejichž sdělení se vyžaduje ze zákona.</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 xml:space="preserve">2.9.6 Poskytovatel je povinen svého případného subdodavatele zavázat povinností mlčenlivosti a respektováním práv Objednatele nejméně ve stejném rozsahu, v jakém je zavázán sám podle tohoto článku. </w:t>
      </w:r>
    </w:p>
    <w:p w:rsidR="00F30FD4" w:rsidRPr="004E7BB6" w:rsidP="00F30FD4">
      <w:pPr>
        <w:pStyle w:val="Odstavecseseznamem1"/>
        <w:spacing w:after="120"/>
        <w:ind w:left="0" w:right="45"/>
        <w:jc w:val="both"/>
        <w:rPr>
          <w:color w:val="000000"/>
          <w:sz w:val="24"/>
          <w:szCs w:val="24"/>
        </w:rPr>
      </w:pPr>
      <w:r w:rsidRPr="004E7BB6">
        <w:rPr>
          <w:sz w:val="24"/>
          <w:szCs w:val="24"/>
        </w:rPr>
        <w:t xml:space="preserve">2.9.7 Dílčí smlouva neobsahuje obchodní tajemství a Poskytovatel souhlasí s tím, aby originál podepsané Dílčí smlouvy Objednatel uveřejnil v elektronické podobě na svém </w:t>
      </w:r>
      <w:r w:rsidRPr="004E7BB6">
        <w:rPr>
          <w:sz w:val="24"/>
          <w:szCs w:val="24"/>
        </w:rPr>
        <w:t>profilu zadavatele a na svých webových stránkách a dále, že Objednatel je oprávněn uveřejňovat na svém profilu zadavatele a na svých webových stránkách i všechny ostatní informace v rozsahu podle ustanovení § 147a ZVZ, ve znění pozdějších předpisů.</w:t>
      </w:r>
    </w:p>
    <w:p w:rsidR="00F30FD4" w:rsidRPr="004E7BB6" w:rsidP="00F30FD4">
      <w:pPr>
        <w:widowControl w:val="0"/>
        <w:suppressAutoHyphens/>
        <w:spacing w:after="120"/>
        <w:jc w:val="both"/>
        <w:rPr>
          <w:rFonts w:ascii="Times New Roman" w:hAnsi="Times New Roman"/>
          <w:sz w:val="24"/>
          <w:szCs w:val="24"/>
        </w:rPr>
      </w:pPr>
    </w:p>
    <w:p w:rsidR="00F30FD4" w:rsidRPr="004E7BB6" w:rsidP="00F30FD4">
      <w:pPr>
        <w:widowControl w:val="0"/>
        <w:suppressAutoHyphens/>
        <w:spacing w:after="120"/>
        <w:jc w:val="both"/>
        <w:rPr>
          <w:rFonts w:ascii="Times New Roman" w:hAnsi="Times New Roman"/>
          <w:sz w:val="24"/>
          <w:szCs w:val="24"/>
        </w:rPr>
      </w:pPr>
    </w:p>
    <w:p w:rsidR="00F30FD4" w:rsidRPr="004E7BB6" w:rsidP="00F30FD4">
      <w:pPr>
        <w:widowControl w:val="0"/>
        <w:suppressAutoHyphens/>
        <w:spacing w:after="120"/>
        <w:jc w:val="both"/>
        <w:rPr>
          <w:rFonts w:ascii="Times New Roman" w:hAnsi="Times New Roman"/>
          <w:b/>
          <w:sz w:val="24"/>
          <w:szCs w:val="24"/>
        </w:rPr>
      </w:pPr>
      <w:r w:rsidRPr="004E7BB6">
        <w:rPr>
          <w:rFonts w:ascii="Times New Roman" w:hAnsi="Times New Roman"/>
          <w:b/>
          <w:sz w:val="24"/>
          <w:szCs w:val="24"/>
        </w:rPr>
        <w:t>2.10 Duševní vlastnictví</w:t>
      </w:r>
    </w:p>
    <w:p w:rsidR="00F30FD4" w:rsidRPr="004E7BB6" w:rsidP="00F30FD4">
      <w:pPr>
        <w:autoSpaceDE w:val="0"/>
        <w:autoSpaceDN w:val="0"/>
        <w:adjustRightInd w:val="0"/>
        <w:spacing w:after="120"/>
        <w:ind w:right="45"/>
        <w:jc w:val="both"/>
        <w:rPr>
          <w:rFonts w:ascii="Times New Roman" w:hAnsi="Times New Roman"/>
          <w:sz w:val="24"/>
          <w:szCs w:val="24"/>
        </w:rPr>
      </w:pPr>
      <w:r w:rsidRPr="004E7BB6">
        <w:rPr>
          <w:rFonts w:ascii="Times New Roman" w:hAnsi="Times New Roman"/>
          <w:sz w:val="24"/>
          <w:szCs w:val="24"/>
        </w:rPr>
        <w:t>Veškeré duševní vlastnictví, které vznikne činností Poskytovatele při realizaci plnění podle Dílčí smlouvy je výhradním vlastnictvím Objednatele. Poskytovatel je povinen po ukončení Dílčí smlouvy předat veškeré takové dokumenty a údaje Objednateli. Poskytovatel si nemůže bez předchozího písemného souhlasu Objednatele ponechat kopie takových dokumentů a údajů a nesmí je použít pro účely, které nesouvisejí se zakázkou.</w:t>
      </w:r>
    </w:p>
    <w:p w:rsidR="00F30FD4" w:rsidRPr="004E7BB6" w:rsidP="00F30FD4">
      <w:pPr>
        <w:autoSpaceDE w:val="0"/>
        <w:autoSpaceDN w:val="0"/>
        <w:adjustRightInd w:val="0"/>
        <w:spacing w:after="120"/>
        <w:ind w:right="45"/>
        <w:jc w:val="both"/>
        <w:rPr>
          <w:rFonts w:ascii="Times New Roman" w:hAnsi="Times New Roman"/>
          <w:sz w:val="24"/>
          <w:szCs w:val="24"/>
        </w:rPr>
      </w:pPr>
    </w:p>
    <w:p w:rsidR="00F30FD4" w:rsidRPr="004E7BB6" w:rsidP="00F30FD4">
      <w:pPr>
        <w:pStyle w:val="Odstavecseseznamem1"/>
        <w:spacing w:after="120"/>
        <w:ind w:left="0"/>
        <w:jc w:val="center"/>
        <w:rPr>
          <w:b/>
          <w:sz w:val="24"/>
          <w:szCs w:val="24"/>
        </w:rPr>
      </w:pPr>
      <w:r w:rsidRPr="004E7BB6">
        <w:rPr>
          <w:b/>
          <w:sz w:val="24"/>
          <w:szCs w:val="24"/>
        </w:rPr>
        <w:t>III. CENA PLNĚNÍ</w:t>
      </w:r>
    </w:p>
    <w:p w:rsidR="00F30FD4" w:rsidRPr="004E7BB6" w:rsidP="00F30FD4">
      <w:pPr>
        <w:keepNext/>
        <w:spacing w:after="120"/>
        <w:jc w:val="both"/>
        <w:rPr>
          <w:rFonts w:ascii="Times New Roman" w:hAnsi="Times New Roman"/>
          <w:sz w:val="24"/>
          <w:szCs w:val="24"/>
        </w:rPr>
      </w:pPr>
      <w:r w:rsidRPr="004E7BB6">
        <w:rPr>
          <w:rFonts w:ascii="Times New Roman" w:hAnsi="Times New Roman"/>
          <w:sz w:val="24"/>
          <w:szCs w:val="24"/>
        </w:rPr>
        <w:t xml:space="preserve">3.1 Celková cena za plnění realizované Poskytovatelem na základě této Smlouvy bude rovna celkovému počtu jednotek plnění (člověkodnů) za jednotlivé pozice po vynásobení níže uvedenými cenami, a to v rozsahu poptávky Objednatele po dobu trvání této Smlouvy. Celková cena </w:t>
      </w:r>
      <w:r w:rsidRPr="00F16A88">
        <w:rPr>
          <w:rFonts w:ascii="Times New Roman" w:hAnsi="Times New Roman"/>
          <w:color w:val="FF0000"/>
          <w:sz w:val="24"/>
          <w:szCs w:val="24"/>
        </w:rPr>
        <w:t xml:space="preserve">(včetně cestovních nákladů) </w:t>
      </w:r>
      <w:r w:rsidRPr="004E7BB6">
        <w:rPr>
          <w:rFonts w:ascii="Times New Roman" w:hAnsi="Times New Roman"/>
          <w:sz w:val="24"/>
          <w:szCs w:val="24"/>
        </w:rPr>
        <w:t xml:space="preserve">však nesmí přesáhnout částku </w:t>
      </w:r>
      <w:smartTag w:uri="urn:schemas-microsoft-com:office:smarttags" w:element="metricconverter">
        <w:smartTagPr>
          <w:attr w:name="ProductID" w:val="90 mil"/>
        </w:smartTagPr>
        <w:r w:rsidRPr="004E7BB6">
          <w:rPr>
            <w:rFonts w:ascii="Times New Roman" w:hAnsi="Times New Roman"/>
            <w:sz w:val="24"/>
            <w:szCs w:val="24"/>
          </w:rPr>
          <w:t>90 mil</w:t>
        </w:r>
      </w:smartTag>
      <w:r w:rsidRPr="004E7BB6">
        <w:rPr>
          <w:rFonts w:ascii="Times New Roman" w:hAnsi="Times New Roman"/>
          <w:sz w:val="24"/>
          <w:szCs w:val="24"/>
        </w:rPr>
        <w:t>. Kč bez DPH.</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3060"/>
        <w:gridCol w:w="2700"/>
      </w:tblGrid>
      <w:tr w:rsidTr="00C03C7B">
        <w:tblPrEx>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3600" w:type="dxa"/>
          </w:tcPr>
          <w:p w:rsidR="00F30FD4" w:rsidRPr="004E7BB6" w:rsidP="00C03C7B">
            <w:pPr>
              <w:keepNext/>
              <w:tabs>
                <w:tab w:val="left" w:pos="7893"/>
              </w:tabs>
              <w:ind w:right="110"/>
              <w:jc w:val="both"/>
              <w:rPr>
                <w:rFonts w:ascii="Times New Roman" w:hAnsi="Times New Roman"/>
                <w:bCs/>
                <w:sz w:val="24"/>
                <w:szCs w:val="24"/>
              </w:rPr>
            </w:pPr>
            <w:r w:rsidRPr="004E7BB6">
              <w:rPr>
                <w:rFonts w:ascii="Times New Roman" w:hAnsi="Times New Roman"/>
                <w:bCs/>
                <w:sz w:val="24"/>
                <w:szCs w:val="24"/>
              </w:rPr>
              <w:t>Pozice</w:t>
            </w:r>
          </w:p>
        </w:tc>
        <w:tc>
          <w:tcPr>
            <w:tcW w:w="3060" w:type="dxa"/>
          </w:tcPr>
          <w:p w:rsidR="00F30FD4" w:rsidRPr="004E7BB6" w:rsidP="00C03C7B">
            <w:pPr>
              <w:keepNext/>
              <w:tabs>
                <w:tab w:val="left" w:pos="7893"/>
              </w:tabs>
              <w:ind w:right="110"/>
              <w:jc w:val="both"/>
              <w:rPr>
                <w:rFonts w:ascii="Times New Roman" w:hAnsi="Times New Roman"/>
                <w:bCs/>
                <w:sz w:val="24"/>
                <w:szCs w:val="24"/>
              </w:rPr>
            </w:pPr>
            <w:r w:rsidRPr="004E7BB6">
              <w:rPr>
                <w:rFonts w:ascii="Times New Roman" w:hAnsi="Times New Roman"/>
                <w:bCs/>
                <w:sz w:val="24"/>
                <w:szCs w:val="24"/>
              </w:rPr>
              <w:t>Cena bez DPH  za poskytnuté služby v rozsahu 1 člověkoden</w:t>
            </w:r>
          </w:p>
        </w:tc>
        <w:tc>
          <w:tcPr>
            <w:tcW w:w="2700" w:type="dxa"/>
          </w:tcPr>
          <w:p w:rsidR="00F30FD4" w:rsidRPr="004E7BB6" w:rsidP="00C03C7B">
            <w:pPr>
              <w:keepNext/>
              <w:tabs>
                <w:tab w:val="left" w:pos="7893"/>
              </w:tabs>
              <w:ind w:right="-36"/>
              <w:jc w:val="both"/>
              <w:rPr>
                <w:rFonts w:ascii="Times New Roman" w:hAnsi="Times New Roman"/>
                <w:bCs/>
                <w:sz w:val="24"/>
                <w:szCs w:val="24"/>
              </w:rPr>
            </w:pPr>
            <w:r w:rsidRPr="004E7BB6">
              <w:rPr>
                <w:rFonts w:ascii="Times New Roman" w:hAnsi="Times New Roman"/>
                <w:bCs/>
                <w:sz w:val="24"/>
                <w:szCs w:val="24"/>
              </w:rPr>
              <w:t>Cena včetně DPH za poskytnuté služby v rozsahu 1 člověkoden</w:t>
            </w:r>
          </w:p>
        </w:tc>
      </w:tr>
      <w:tr w:rsidTr="00C03C7B">
        <w:tblPrEx>
          <w:tblW w:w="9360" w:type="dxa"/>
          <w:tblInd w:w="70" w:type="dxa"/>
          <w:tblLayout w:type="fixed"/>
          <w:tblCellMar>
            <w:left w:w="70" w:type="dxa"/>
            <w:right w:w="70" w:type="dxa"/>
          </w:tblCellMar>
          <w:tblLook w:val="0000"/>
        </w:tblPrEx>
        <w:trPr>
          <w:trHeight w:hRule="exact" w:val="454"/>
        </w:trPr>
        <w:tc>
          <w:tcPr>
            <w:tcW w:w="3600" w:type="dxa"/>
          </w:tcPr>
          <w:p w:rsidR="00F30FD4" w:rsidRPr="004E7BB6" w:rsidP="00C03C7B">
            <w:pPr>
              <w:pStyle w:val="Default"/>
              <w:spacing w:before="120" w:after="120"/>
              <w:jc w:val="both"/>
              <w:rPr>
                <w:rFonts w:ascii="Times New Roman" w:hAnsi="Times New Roman" w:cs="Times New Roman"/>
                <w:color w:val="auto"/>
              </w:rPr>
            </w:pPr>
            <w:r w:rsidRPr="004E7BB6">
              <w:rPr>
                <w:rFonts w:ascii="Times New Roman" w:hAnsi="Times New Roman" w:cs="Times New Roman"/>
                <w:color w:val="auto"/>
              </w:rPr>
              <w:t>Manažer auditu</w:t>
            </w:r>
          </w:p>
        </w:tc>
        <w:tc>
          <w:tcPr>
            <w:tcW w:w="306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c>
          <w:tcPr>
            <w:tcW w:w="2700" w:type="dxa"/>
            <w:vAlign w:val="center"/>
          </w:tcPr>
          <w:p w:rsidR="00F30FD4" w:rsidRPr="004E7BB6" w:rsidP="00C03C7B">
            <w:pPr>
              <w:pStyle w:val="Default"/>
              <w:spacing w:before="120" w:after="120"/>
              <w:ind w:left="7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r>
      <w:tr w:rsidTr="00C03C7B">
        <w:tblPrEx>
          <w:tblW w:w="9360" w:type="dxa"/>
          <w:tblInd w:w="70" w:type="dxa"/>
          <w:tblLayout w:type="fixed"/>
          <w:tblCellMar>
            <w:left w:w="70" w:type="dxa"/>
            <w:right w:w="70" w:type="dxa"/>
          </w:tblCellMar>
          <w:tblLook w:val="0000"/>
        </w:tblPrEx>
        <w:trPr>
          <w:trHeight w:hRule="exact" w:val="454"/>
        </w:trPr>
        <w:tc>
          <w:tcPr>
            <w:tcW w:w="3600" w:type="dxa"/>
          </w:tcPr>
          <w:p w:rsidR="00F30FD4" w:rsidRPr="004E7BB6" w:rsidP="00C03C7B">
            <w:pPr>
              <w:pStyle w:val="Default"/>
              <w:spacing w:before="120" w:after="120"/>
              <w:jc w:val="both"/>
              <w:rPr>
                <w:rFonts w:ascii="Times New Roman" w:hAnsi="Times New Roman" w:cs="Times New Roman"/>
                <w:color w:val="auto"/>
              </w:rPr>
            </w:pPr>
            <w:r w:rsidRPr="004E7BB6">
              <w:rPr>
                <w:rFonts w:ascii="Times New Roman" w:hAnsi="Times New Roman" w:cs="Times New Roman"/>
                <w:color w:val="auto"/>
              </w:rPr>
              <w:t>Auditor ICT</w:t>
            </w:r>
          </w:p>
        </w:tc>
        <w:tc>
          <w:tcPr>
            <w:tcW w:w="306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c>
          <w:tcPr>
            <w:tcW w:w="2700" w:type="dxa"/>
            <w:vAlign w:val="center"/>
          </w:tcPr>
          <w:p w:rsidR="00F30FD4" w:rsidRPr="004E7BB6" w:rsidP="00C03C7B">
            <w:pPr>
              <w:pStyle w:val="Default"/>
              <w:spacing w:before="120" w:after="120"/>
              <w:ind w:left="7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r>
      <w:tr w:rsidTr="00C03C7B">
        <w:tblPrEx>
          <w:tblW w:w="9360" w:type="dxa"/>
          <w:tblInd w:w="70" w:type="dxa"/>
          <w:tblLayout w:type="fixed"/>
          <w:tblCellMar>
            <w:left w:w="70" w:type="dxa"/>
            <w:right w:w="70" w:type="dxa"/>
          </w:tblCellMar>
          <w:tblLook w:val="0000"/>
        </w:tblPrEx>
        <w:trPr>
          <w:trHeight w:hRule="exact" w:val="454"/>
        </w:trPr>
        <w:tc>
          <w:tcPr>
            <w:tcW w:w="3600" w:type="dxa"/>
          </w:tcPr>
          <w:p w:rsidR="00F30FD4" w:rsidRPr="004E7BB6" w:rsidP="00C03C7B">
            <w:pPr>
              <w:pStyle w:val="Default"/>
              <w:spacing w:before="120" w:after="120"/>
              <w:jc w:val="both"/>
              <w:rPr>
                <w:rFonts w:ascii="Times New Roman" w:hAnsi="Times New Roman" w:cs="Times New Roman"/>
                <w:color w:val="auto"/>
              </w:rPr>
            </w:pPr>
            <w:r w:rsidRPr="004E7BB6">
              <w:rPr>
                <w:rFonts w:ascii="Times New Roman" w:hAnsi="Times New Roman" w:cs="Times New Roman"/>
                <w:color w:val="auto"/>
              </w:rPr>
              <w:t>Auditor</w:t>
            </w:r>
          </w:p>
        </w:tc>
        <w:tc>
          <w:tcPr>
            <w:tcW w:w="306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c>
          <w:tcPr>
            <w:tcW w:w="270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r>
      <w:tr w:rsidTr="00C03C7B">
        <w:tblPrEx>
          <w:tblW w:w="9360" w:type="dxa"/>
          <w:tblInd w:w="70" w:type="dxa"/>
          <w:tblLayout w:type="fixed"/>
          <w:tblCellMar>
            <w:left w:w="70" w:type="dxa"/>
            <w:right w:w="70" w:type="dxa"/>
          </w:tblCellMar>
          <w:tblLook w:val="0000"/>
        </w:tblPrEx>
        <w:trPr>
          <w:trHeight w:hRule="exact" w:val="454"/>
        </w:trPr>
        <w:tc>
          <w:tcPr>
            <w:tcW w:w="3600" w:type="dxa"/>
          </w:tcPr>
          <w:p w:rsidR="00F30FD4" w:rsidRPr="004E7BB6" w:rsidP="00C03C7B">
            <w:pPr>
              <w:pStyle w:val="Default"/>
              <w:spacing w:before="120" w:after="120"/>
              <w:jc w:val="both"/>
              <w:rPr>
                <w:rFonts w:ascii="Times New Roman" w:hAnsi="Times New Roman" w:cs="Times New Roman"/>
                <w:color w:val="auto"/>
              </w:rPr>
            </w:pPr>
            <w:r w:rsidRPr="004E7BB6">
              <w:rPr>
                <w:rFonts w:ascii="Times New Roman" w:hAnsi="Times New Roman" w:cs="Times New Roman"/>
                <w:color w:val="auto"/>
              </w:rPr>
              <w:t>Asistent auditora</w:t>
            </w:r>
          </w:p>
        </w:tc>
        <w:tc>
          <w:tcPr>
            <w:tcW w:w="306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c>
          <w:tcPr>
            <w:tcW w:w="2700" w:type="dxa"/>
            <w:vAlign w:val="center"/>
          </w:tcPr>
          <w:p w:rsidR="00F30FD4" w:rsidRPr="004E7BB6" w:rsidP="00C03C7B">
            <w:pPr>
              <w:pStyle w:val="Default"/>
              <w:spacing w:before="120" w:after="120"/>
              <w:jc w:val="right"/>
              <w:rPr>
                <w:rFonts w:ascii="Times New Roman" w:hAnsi="Times New Roman" w:cs="Times New Roman"/>
                <w:color w:val="auto"/>
                <w:highlight w:val="yellow"/>
              </w:rPr>
            </w:pPr>
            <w:r w:rsidRPr="004E7BB6">
              <w:rPr>
                <w:rFonts w:ascii="Times New Roman" w:hAnsi="Times New Roman" w:cs="Times New Roman"/>
                <w:color w:val="auto"/>
                <w:highlight w:val="yellow"/>
              </w:rPr>
              <w:t>,- Kč</w:t>
            </w:r>
          </w:p>
        </w:tc>
      </w:tr>
    </w:tbl>
    <w:p w:rsidR="00F30FD4" w:rsidRPr="004E7BB6" w:rsidP="00F30FD4">
      <w:pPr>
        <w:spacing w:before="120" w:after="120"/>
        <w:jc w:val="both"/>
        <w:rPr>
          <w:rFonts w:ascii="Times New Roman" w:hAnsi="Times New Roman"/>
          <w:sz w:val="24"/>
          <w:szCs w:val="24"/>
        </w:rPr>
      </w:pPr>
      <w:r w:rsidRPr="004E7BB6">
        <w:rPr>
          <w:rFonts w:ascii="Times New Roman" w:hAnsi="Times New Roman"/>
          <w:sz w:val="24"/>
          <w:szCs w:val="24"/>
        </w:rPr>
        <w:t>3.2 Ceny dle bodu 1 tohoto článku zahrnují veškeré výdaje Poskytovatele nutné k plnění Smlouvy, resp. jednotlivých Dílčích smluv, včetně veškerých dalších nákladů spojených s plněním Smlouvy, resp. jednotlivých Dílčích smluv.</w:t>
      </w:r>
    </w:p>
    <w:p w:rsidR="00F30FD4" w:rsidRPr="004E7BB6" w:rsidP="00F30FD4">
      <w:pPr>
        <w:pStyle w:val="Odstavecseseznamem1"/>
        <w:spacing w:after="120"/>
        <w:ind w:left="0"/>
        <w:jc w:val="center"/>
        <w:rPr>
          <w:b/>
          <w:sz w:val="24"/>
          <w:szCs w:val="24"/>
        </w:rPr>
      </w:pPr>
    </w:p>
    <w:p w:rsidR="00F30FD4" w:rsidRPr="004E7BB6" w:rsidP="00F30FD4">
      <w:pPr>
        <w:pStyle w:val="Odstavecseseznamem1"/>
        <w:spacing w:after="120"/>
        <w:ind w:left="0"/>
        <w:jc w:val="center"/>
        <w:rPr>
          <w:b/>
          <w:sz w:val="24"/>
          <w:szCs w:val="24"/>
        </w:rPr>
      </w:pPr>
      <w:r w:rsidRPr="004E7BB6">
        <w:rPr>
          <w:b/>
          <w:sz w:val="24"/>
          <w:szCs w:val="24"/>
        </w:rPr>
        <w:t xml:space="preserve">IV. SANKCE – SMLUVNÍ POKUTA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4.1 Pokud dále není uvedeno jinak, v případě prodlení s plněním povinnosti Poskytovatele dle čl. 2.2 této Smlouvy činí smluvní pokuta ve prospěch Objednatele 10 000 Kč, a to za každý započatý den prodlení. </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4.2  Žádná ze Smluvních stran není zodpovědná za prodlení způsobené prodlením se splněním závazků druhé Smluvní strany.</w:t>
      </w:r>
    </w:p>
    <w:p w:rsidR="00F30FD4" w:rsidRPr="004E7BB6" w:rsidP="00F30FD4">
      <w:pPr>
        <w:widowControl w:val="0"/>
        <w:suppressAutoHyphens/>
        <w:spacing w:after="120"/>
        <w:ind w:left="425" w:right="567"/>
        <w:jc w:val="both"/>
        <w:rPr>
          <w:rFonts w:ascii="Times New Roman" w:hAnsi="Times New Roman"/>
          <w:sz w:val="24"/>
          <w:szCs w:val="24"/>
        </w:rPr>
      </w:pPr>
    </w:p>
    <w:p w:rsidR="00F30FD4" w:rsidRPr="004E7BB6" w:rsidP="00F30FD4">
      <w:pPr>
        <w:pStyle w:val="Odstavecseseznamem1"/>
        <w:spacing w:after="120"/>
        <w:ind w:left="0"/>
        <w:jc w:val="center"/>
        <w:rPr>
          <w:b/>
          <w:sz w:val="24"/>
          <w:szCs w:val="24"/>
        </w:rPr>
      </w:pPr>
      <w:r w:rsidRPr="004E7BB6">
        <w:rPr>
          <w:b/>
          <w:sz w:val="24"/>
          <w:szCs w:val="24"/>
        </w:rPr>
        <w:t>V. NÁHRADA ŠKODY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5.1 Poskytovatel odpovídá za veškerou škodu způsobenou porušením ustanovení této Smlouvy, včetně opomenutí. O náhradě škody platí obecná ustanovení zákona č. 513/1991 Sb., obchodního zákoníku, v platném znění.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5.2 Zaplacením smluvní pokuty dle čl. IV není dotčeno právo Smluvních stran na úhradu způsobené škody vzniklé v souvislosti s plněním předmětu Smlouvy.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5.3 Jakákoliv ustanovení týkající se omezení výše či druhu škody se nepřipouští.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 xml:space="preserve">5.4 Žádná ze Smluvních stran není zodpovědná za škodu způsobenou prodlením s plněním závazků druhé Smluvní strany.  </w:t>
      </w:r>
    </w:p>
    <w:p w:rsidR="00F30FD4" w:rsidRPr="004E7BB6" w:rsidP="00F30FD4">
      <w:pPr>
        <w:spacing w:after="120"/>
        <w:jc w:val="both"/>
        <w:rPr>
          <w:rFonts w:ascii="Times New Roman" w:hAnsi="Times New Roman"/>
          <w:sz w:val="24"/>
          <w:szCs w:val="24"/>
        </w:rPr>
      </w:pPr>
    </w:p>
    <w:p w:rsidR="00F30FD4" w:rsidRPr="004E7BB6" w:rsidP="00F30FD4">
      <w:pPr>
        <w:pStyle w:val="Odstavecseseznamem1"/>
        <w:spacing w:after="120"/>
        <w:ind w:left="0"/>
        <w:jc w:val="center"/>
        <w:rPr>
          <w:b/>
          <w:sz w:val="24"/>
          <w:szCs w:val="24"/>
        </w:rPr>
      </w:pPr>
      <w:r w:rsidRPr="004E7BB6">
        <w:rPr>
          <w:b/>
          <w:sz w:val="24"/>
          <w:szCs w:val="24"/>
        </w:rPr>
        <w:t>VI. DOBA TRVÁNÍ SMLOUVY A TERMÍN PLNĚNÍ</w:t>
      </w:r>
    </w:p>
    <w:p w:rsidR="00F30FD4" w:rsidRPr="004E7BB6" w:rsidP="00F30FD4">
      <w:pPr>
        <w:tabs>
          <w:tab w:val="num" w:pos="720"/>
        </w:tabs>
        <w:autoSpaceDE w:val="0"/>
        <w:autoSpaceDN w:val="0"/>
        <w:adjustRightInd w:val="0"/>
        <w:spacing w:after="120"/>
        <w:jc w:val="both"/>
        <w:rPr>
          <w:rFonts w:ascii="Times New Roman" w:hAnsi="Times New Roman"/>
          <w:sz w:val="24"/>
          <w:szCs w:val="24"/>
        </w:rPr>
      </w:pPr>
      <w:r w:rsidRPr="004E7BB6">
        <w:rPr>
          <w:rFonts w:ascii="Times New Roman" w:hAnsi="Times New Roman"/>
          <w:sz w:val="24"/>
          <w:szCs w:val="24"/>
        </w:rPr>
        <w:t>6.1 Smluvní strany se dohodly, že tato Smlouva je uzavřena na dobu určitou, a to ode dne podpisu této Smlouvy oběma Smluvními stranami do 30. 6. 2021. Objednatel nevylučuje, že v průběhu platnosti této Smlouvy nebudou uzavírány jednotlivé Dílčí smlouvy z důvodu zajištění plnění povinností vyplývajících z legislativy EU interními kapacitami zadavatele.</w:t>
      </w:r>
    </w:p>
    <w:p w:rsidR="00F30FD4" w:rsidRPr="004E7BB6" w:rsidP="00F30FD4">
      <w:pPr>
        <w:autoSpaceDE w:val="0"/>
        <w:autoSpaceDN w:val="0"/>
        <w:adjustRightInd w:val="0"/>
        <w:spacing w:after="120"/>
        <w:jc w:val="both"/>
        <w:rPr>
          <w:rFonts w:ascii="Times New Roman" w:hAnsi="Times New Roman"/>
          <w:sz w:val="24"/>
          <w:szCs w:val="24"/>
        </w:rPr>
      </w:pPr>
      <w:r w:rsidRPr="004E7BB6">
        <w:rPr>
          <w:rFonts w:ascii="Times New Roman" w:hAnsi="Times New Roman"/>
          <w:sz w:val="24"/>
          <w:szCs w:val="24"/>
        </w:rPr>
        <w:t>6.2 Termín dodání dílčích služeb dle čl. 1.2 této Smlouvy bude dohodnut mezi Objednatelem a Poskytovatelem v jednotlivých Dílčích smlouvách.</w:t>
      </w:r>
    </w:p>
    <w:p w:rsidR="00F30FD4" w:rsidRPr="004E7BB6" w:rsidP="00F30FD4">
      <w:pPr>
        <w:pStyle w:val="Odstavecseseznamem1"/>
        <w:ind w:left="1080"/>
        <w:jc w:val="both"/>
        <w:rPr>
          <w:b/>
          <w:sz w:val="24"/>
          <w:szCs w:val="24"/>
        </w:rPr>
      </w:pPr>
    </w:p>
    <w:p w:rsidR="00F30FD4" w:rsidRPr="004E7BB6" w:rsidP="00F30FD4">
      <w:pPr>
        <w:pStyle w:val="Odstavecseseznamem1"/>
        <w:spacing w:after="120"/>
        <w:ind w:left="0"/>
        <w:jc w:val="center"/>
        <w:rPr>
          <w:b/>
          <w:sz w:val="24"/>
          <w:szCs w:val="24"/>
        </w:rPr>
      </w:pPr>
      <w:r w:rsidRPr="004E7BB6">
        <w:rPr>
          <w:b/>
          <w:sz w:val="24"/>
          <w:szCs w:val="24"/>
        </w:rPr>
        <w:t>VII. ZÁNIK SMLOUVY</w:t>
      </w:r>
    </w:p>
    <w:p w:rsidR="00F30FD4" w:rsidRPr="004E7BB6" w:rsidP="00F30FD4">
      <w:pPr>
        <w:widowControl w:val="0"/>
        <w:tabs>
          <w:tab w:val="left" w:pos="426"/>
          <w:tab w:val="left" w:pos="225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7.1 Smluvní strany jsou oprávněny odstoupit od této Smlouvy z důvodů uvedených v zákoně a dále z důvodu podstatného porušení této Smlouvy ve smyslu ustanovení § 345 obchodního zákoníku, pokud podstatné porušení této Smlouvy, které je důvodem pro odstoupení od Smlouvy, nebylo způsobeno okolnostmi vylučujícími odpovědnost dle ustanovení § 374 obchodního zákoníku.</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7.2 Za podstatné porušení Smlouvy ze strany Objednatele se považuje neplnění závazků spočívajících zejména v neuhrazení dlužné částky po dobu 60 dnů po splatnosti daňového dokladu (faktury) dle Dílčí smlouvy.</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7.3 Za podstatné porušení Smlouvy ze strany Poskytovatele se považuje neplnění závazků spočívajících zejména v nedodržení termínu plnění delší než 14 dnů či v opakovaném prodlení s plněním povinnosti z Dílčí smlouvy v průběhu 1 měsíce nebo realizace předmětu Dílčí smlouvy v rozporu s ustanoveními Dílčí smlouvy a/nebo jiných závazných dokumentů či předpisů.</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7.4 Objednatel je oprávněn odstoupit i od jednotlivých částí plnění.</w:t>
      </w:r>
    </w:p>
    <w:p w:rsidR="00F30FD4" w:rsidRPr="004E7BB6" w:rsidP="00F30FD4">
      <w:pPr>
        <w:widowControl w:val="0"/>
        <w:suppressAutoHyphens/>
        <w:spacing w:after="120"/>
        <w:jc w:val="both"/>
        <w:rPr>
          <w:rFonts w:ascii="Times New Roman" w:hAnsi="Times New Roman"/>
          <w:sz w:val="24"/>
          <w:szCs w:val="24"/>
        </w:rPr>
      </w:pPr>
      <w:r w:rsidRPr="004E7BB6">
        <w:rPr>
          <w:rFonts w:ascii="Times New Roman" w:hAnsi="Times New Roman"/>
          <w:sz w:val="24"/>
          <w:szCs w:val="24"/>
        </w:rPr>
        <w:t>7.5 Odstoupení od Smlouvy nabývá právní účinnosti dnem doručení písemného oznámení o odstoupení od Smlouvy druhé Smluvní straně.</w:t>
      </w:r>
    </w:p>
    <w:p w:rsidR="00F30FD4" w:rsidRPr="004E7BB6" w:rsidP="00F30FD4">
      <w:pPr>
        <w:widowControl w:val="0"/>
        <w:tabs>
          <w:tab w:val="left" w:pos="0"/>
          <w:tab w:val="left" w:pos="2250"/>
        </w:tabs>
        <w:autoSpaceDE w:val="0"/>
        <w:autoSpaceDN w:val="0"/>
        <w:adjustRightInd w:val="0"/>
        <w:spacing w:after="120"/>
        <w:ind w:right="70"/>
        <w:jc w:val="both"/>
        <w:rPr>
          <w:rFonts w:ascii="Times New Roman" w:hAnsi="Times New Roman"/>
          <w:sz w:val="24"/>
          <w:szCs w:val="24"/>
        </w:rPr>
      </w:pPr>
      <w:r w:rsidRPr="004E7BB6">
        <w:rPr>
          <w:rFonts w:ascii="Times New Roman" w:hAnsi="Times New Roman"/>
          <w:sz w:val="24"/>
          <w:szCs w:val="24"/>
        </w:rPr>
        <w:t>7.6 V případě odstoupení od Smlouvy z výše uvedených důvodů má Objednatel v každém případě nárok na náhradu prokázaných nákladů, které vzniknou v souvislosti s náhradním řešením, zejména nákladů, které mohou vzniknout v souvislosti s pověřením jiného dodavatele Služeb.</w:t>
      </w:r>
    </w:p>
    <w:p w:rsidR="00F30FD4" w:rsidRPr="004E7BB6" w:rsidP="00F30FD4">
      <w:pPr>
        <w:widowControl w:val="0"/>
        <w:tabs>
          <w:tab w:val="left" w:pos="426"/>
          <w:tab w:val="left" w:pos="2250"/>
        </w:tabs>
        <w:autoSpaceDE w:val="0"/>
        <w:autoSpaceDN w:val="0"/>
        <w:adjustRightInd w:val="0"/>
        <w:spacing w:after="120"/>
        <w:ind w:left="426" w:right="70"/>
        <w:jc w:val="both"/>
        <w:rPr>
          <w:rFonts w:ascii="Times New Roman" w:hAnsi="Times New Roman"/>
          <w:sz w:val="24"/>
          <w:szCs w:val="24"/>
        </w:rPr>
      </w:pPr>
    </w:p>
    <w:p w:rsidR="00F30FD4" w:rsidRPr="004E7BB6" w:rsidP="00F30FD4">
      <w:pPr>
        <w:widowControl w:val="0"/>
        <w:suppressAutoHyphens/>
        <w:spacing w:after="120"/>
        <w:ind w:left="-180"/>
        <w:jc w:val="both"/>
        <w:rPr>
          <w:rFonts w:ascii="Times New Roman" w:hAnsi="Times New Roman"/>
          <w:sz w:val="24"/>
          <w:szCs w:val="24"/>
        </w:rPr>
      </w:pPr>
    </w:p>
    <w:p w:rsidR="00F30FD4" w:rsidRPr="004E7BB6" w:rsidP="00F30FD4">
      <w:pPr>
        <w:pStyle w:val="Odstavecseseznamem1"/>
        <w:spacing w:after="120"/>
        <w:ind w:left="0"/>
        <w:jc w:val="center"/>
        <w:rPr>
          <w:b/>
          <w:sz w:val="24"/>
          <w:szCs w:val="24"/>
        </w:rPr>
      </w:pPr>
      <w:r w:rsidRPr="004E7BB6">
        <w:rPr>
          <w:b/>
          <w:sz w:val="24"/>
          <w:szCs w:val="24"/>
        </w:rPr>
        <w:t>VIII.</w:t>
      </w:r>
      <w:r w:rsidRPr="004E7BB6">
        <w:rPr>
          <w:b/>
          <w:sz w:val="24"/>
          <w:szCs w:val="24"/>
        </w:rPr>
        <w:tab/>
        <w:t>ROZHODNÉ PRÁVO</w:t>
      </w:r>
    </w:p>
    <w:p w:rsidR="00F30FD4" w:rsidRPr="004E7BB6" w:rsidP="00F30FD4">
      <w:pPr>
        <w:tabs>
          <w:tab w:val="left" w:pos="426"/>
        </w:tabs>
        <w:spacing w:after="120"/>
        <w:ind w:right="45"/>
        <w:jc w:val="both"/>
        <w:rPr>
          <w:rFonts w:ascii="Times New Roman" w:hAnsi="Times New Roman"/>
          <w:sz w:val="24"/>
          <w:szCs w:val="24"/>
        </w:rPr>
      </w:pPr>
      <w:r w:rsidRPr="004E7BB6">
        <w:rPr>
          <w:rFonts w:ascii="Times New Roman" w:hAnsi="Times New Roman"/>
          <w:sz w:val="24"/>
          <w:szCs w:val="24"/>
        </w:rPr>
        <w:t>9.1 Vztahy mezi Smluvními stranami touto Smlouvou výslovně neupravené se budou řídit obecně závaznými právními předpisy, zejména zákonem č. 513/1991 Sb., obchodní zákoník v platném znění a ZVZ, ve znění pozdějších předpisů.</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9.2 Jakékoliv eventuální sporné otázky a nedorozumění se Smluvní strany zavazují řešit nejprve smírným jednáním stran Smlouvy.</w:t>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9.3 Pro rozhodování případných sporů, vzniklých ze závazkových vztahů založených touto Smlouvou, které nebyly překonány smírným jednáním Smluvních stran, budou místně a věcně příslušné soudy České republiky.</w:t>
      </w:r>
    </w:p>
    <w:p w:rsidR="00F30FD4" w:rsidRPr="004E7BB6" w:rsidP="00F30FD4">
      <w:pPr>
        <w:pStyle w:val="Odstavecseseznamem1"/>
        <w:jc w:val="both"/>
        <w:rPr>
          <w:b/>
          <w:sz w:val="24"/>
          <w:szCs w:val="24"/>
        </w:rPr>
      </w:pPr>
    </w:p>
    <w:p w:rsidR="00F30FD4" w:rsidRPr="004E7BB6" w:rsidP="00F30FD4">
      <w:pPr>
        <w:pStyle w:val="Odstavecseseznamem1"/>
        <w:spacing w:after="120"/>
        <w:ind w:left="0"/>
        <w:jc w:val="center"/>
        <w:rPr>
          <w:b/>
          <w:sz w:val="24"/>
          <w:szCs w:val="24"/>
        </w:rPr>
      </w:pPr>
      <w:r w:rsidRPr="004E7BB6">
        <w:rPr>
          <w:b/>
          <w:sz w:val="24"/>
          <w:szCs w:val="24"/>
        </w:rPr>
        <w:t>IX.</w:t>
      </w:r>
      <w:r w:rsidRPr="004E7BB6">
        <w:rPr>
          <w:b/>
          <w:sz w:val="24"/>
          <w:szCs w:val="24"/>
        </w:rPr>
        <w:tab/>
        <w:t>KONTAKTNÍ OSOBY</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10.1 Smluvní strany se zavazují určit kontaktní osoby, jejichž úkolem bude zajistit řádné a účinné uplatňování práv a plnění povinností založených touto Smlouvou.</w:t>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10.2 Kontaktní osobou Objednatele je:</w:t>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ab/>
        <w:t xml:space="preserve">Ing. </w:t>
      </w:r>
      <w:smartTag w:uri="urn:schemas-microsoft-com:office:smarttags" w:element="PersonName">
        <w:smartTagPr>
          <w:attr w:name="ProductID" w:val="Michal Šuma"/>
        </w:smartTagPr>
        <w:r w:rsidRPr="004E7BB6">
          <w:rPr>
            <w:rFonts w:ascii="Times New Roman" w:hAnsi="Times New Roman"/>
            <w:sz w:val="24"/>
            <w:szCs w:val="24"/>
          </w:rPr>
          <w:t>Michal Šuma</w:t>
        </w:r>
      </w:smartTag>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ab/>
        <w:t>Odbor Národní fond Ministerstva financí</w:t>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ab/>
      </w:r>
      <w:r>
        <w:fldChar w:fldCharType="begin"/>
      </w:r>
      <w:r>
        <w:instrText xml:space="preserve"> HYPERLINK "mailto:Michal.Suma@mfcr.cz" </w:instrText>
      </w:r>
      <w:r>
        <w:fldChar w:fldCharType="separate"/>
      </w:r>
      <w:r w:rsidRPr="004E7BB6">
        <w:rPr>
          <w:rStyle w:val="Hyperlink"/>
          <w:rFonts w:ascii="Times New Roman" w:hAnsi="Times New Roman"/>
          <w:sz w:val="24"/>
          <w:szCs w:val="24"/>
        </w:rPr>
        <w:t>Michal.Suma@mfcr.cz</w:t>
      </w:r>
      <w:r>
        <w:fldChar w:fldCharType="end"/>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ab/>
        <w:t>tel. č. : 257 043 029</w:t>
      </w:r>
    </w:p>
    <w:p w:rsidR="00F30FD4" w:rsidRPr="004E7BB6" w:rsidP="00F30FD4">
      <w:pPr>
        <w:tabs>
          <w:tab w:val="left" w:pos="360"/>
        </w:tabs>
        <w:spacing w:after="120"/>
        <w:jc w:val="both"/>
        <w:rPr>
          <w:rFonts w:ascii="Times New Roman" w:hAnsi="Times New Roman"/>
          <w:sz w:val="24"/>
          <w:szCs w:val="24"/>
          <w:highlight w:val="yellow"/>
        </w:rPr>
      </w:pPr>
    </w:p>
    <w:p w:rsidR="00F30FD4" w:rsidRPr="004E7BB6" w:rsidP="00F30FD4">
      <w:pPr>
        <w:tabs>
          <w:tab w:val="left" w:pos="360"/>
        </w:tabs>
        <w:spacing w:after="120"/>
        <w:jc w:val="both"/>
        <w:rPr>
          <w:rFonts w:ascii="Times New Roman" w:hAnsi="Times New Roman"/>
          <w:sz w:val="24"/>
          <w:szCs w:val="24"/>
          <w:highlight w:val="yellow"/>
        </w:rPr>
      </w:pPr>
      <w:r w:rsidRPr="004E7BB6">
        <w:rPr>
          <w:rFonts w:ascii="Times New Roman" w:hAnsi="Times New Roman"/>
          <w:sz w:val="24"/>
          <w:szCs w:val="24"/>
          <w:highlight w:val="yellow"/>
        </w:rPr>
        <w:t>10.3 Kontaktní osobou Poskytovatele je:</w:t>
      </w:r>
    </w:p>
    <w:p w:rsidR="00F30FD4" w:rsidRPr="004E7BB6" w:rsidP="00F30FD4">
      <w:pPr>
        <w:widowControl w:val="0"/>
        <w:suppressAutoHyphens/>
        <w:spacing w:after="120"/>
        <w:ind w:left="709"/>
        <w:jc w:val="both"/>
        <w:rPr>
          <w:rFonts w:ascii="Times New Roman" w:hAnsi="Times New Roman"/>
          <w:sz w:val="24"/>
          <w:szCs w:val="24"/>
          <w:highlight w:val="yellow"/>
        </w:rPr>
      </w:pPr>
    </w:p>
    <w:p w:rsidR="00F30FD4" w:rsidRPr="004E7BB6" w:rsidP="00F30FD4">
      <w:pPr>
        <w:widowControl w:val="0"/>
        <w:suppressAutoHyphens/>
        <w:spacing w:after="120"/>
        <w:ind w:left="709"/>
        <w:jc w:val="both"/>
        <w:rPr>
          <w:rFonts w:ascii="Times New Roman" w:hAnsi="Times New Roman"/>
          <w:sz w:val="24"/>
          <w:szCs w:val="24"/>
          <w:highlight w:val="yellow"/>
        </w:rPr>
      </w:pPr>
    </w:p>
    <w:p w:rsidR="00F30FD4" w:rsidRPr="004E7BB6" w:rsidP="00F30FD4">
      <w:pPr>
        <w:pStyle w:val="Odstavecseseznamem1"/>
        <w:jc w:val="both"/>
        <w:rPr>
          <w:b/>
          <w:sz w:val="24"/>
          <w:szCs w:val="24"/>
        </w:rPr>
      </w:pPr>
    </w:p>
    <w:p w:rsidR="00F30FD4" w:rsidRPr="004E7BB6" w:rsidP="00F30FD4">
      <w:pPr>
        <w:pStyle w:val="Odstavecseseznamem1"/>
        <w:spacing w:after="120"/>
        <w:jc w:val="both"/>
        <w:rPr>
          <w:b/>
          <w:sz w:val="24"/>
          <w:szCs w:val="24"/>
        </w:rPr>
      </w:pPr>
    </w:p>
    <w:p w:rsidR="00F30FD4" w:rsidRPr="004E7BB6" w:rsidP="00F30FD4">
      <w:pPr>
        <w:pStyle w:val="Odstavecseseznamem1"/>
        <w:spacing w:after="120"/>
        <w:ind w:left="0" w:right="45"/>
        <w:jc w:val="center"/>
        <w:rPr>
          <w:b/>
          <w:sz w:val="24"/>
          <w:szCs w:val="24"/>
        </w:rPr>
      </w:pPr>
      <w:r w:rsidRPr="004E7BB6">
        <w:rPr>
          <w:b/>
          <w:sz w:val="24"/>
          <w:szCs w:val="24"/>
        </w:rPr>
        <w:t>X.</w:t>
      </w:r>
      <w:r w:rsidRPr="004E7BB6">
        <w:rPr>
          <w:b/>
          <w:sz w:val="24"/>
          <w:szCs w:val="24"/>
        </w:rPr>
        <w:tab/>
        <w:t>UVEŘEJNĚNÍ SMLOUVY A SEZNAM SUBDODAVATELŮ</w:t>
      </w:r>
    </w:p>
    <w:p w:rsidR="00F30FD4" w:rsidRPr="004E7BB6" w:rsidP="00F30FD4">
      <w:pPr>
        <w:pStyle w:val="Odstavecseseznamem1"/>
        <w:spacing w:after="120"/>
        <w:ind w:left="0" w:right="45"/>
        <w:jc w:val="both"/>
        <w:rPr>
          <w:color w:val="000000"/>
          <w:sz w:val="24"/>
          <w:szCs w:val="24"/>
        </w:rPr>
      </w:pPr>
      <w:r w:rsidRPr="004E7BB6">
        <w:rPr>
          <w:sz w:val="24"/>
          <w:szCs w:val="24"/>
        </w:rPr>
        <w:t>11.1 Tato Smlouva neobsahuje obchodní tajemství a Poskytovatel souhlasí s tím, aby originál podepsané smlouvy Objednatel uveřejnil v elektronické podobě na svém profilu zadavatele a na svých webových stránkách a dále, že Objednatel je oprávněn uveřejňovat na svém profilu zadavatele a na svých webových stránkách i všechny ostatní informace v rozsahu podle ustanovení § 147a ZVZ, ve znění pozdějších předpisů.</w:t>
      </w:r>
    </w:p>
    <w:p w:rsidR="00F30FD4" w:rsidRPr="004E7BB6" w:rsidP="00F30FD4">
      <w:pPr>
        <w:pStyle w:val="Odstavecseseznamem1"/>
        <w:spacing w:after="120"/>
        <w:ind w:left="0" w:right="45"/>
        <w:jc w:val="both"/>
        <w:rPr>
          <w:color w:val="000000"/>
          <w:sz w:val="24"/>
          <w:szCs w:val="24"/>
        </w:rPr>
      </w:pPr>
      <w:r w:rsidRPr="004E7BB6">
        <w:rPr>
          <w:sz w:val="24"/>
          <w:szCs w:val="24"/>
        </w:rPr>
        <w:t xml:space="preserve">11.2 Poskytovatel se zavazuje předložit Objednateli v souladu s § 147a odst. </w:t>
      </w:r>
      <w:smartTag w:uri="urn:schemas-microsoft-com:office:smarttags" w:element="metricconverter">
        <w:smartTagPr>
          <w:attr w:name="ProductID" w:val="4 a"/>
        </w:smartTagPr>
        <w:r w:rsidRPr="004E7BB6">
          <w:rPr>
            <w:sz w:val="24"/>
            <w:szCs w:val="24"/>
          </w:rPr>
          <w:t>4 a</w:t>
        </w:r>
      </w:smartTag>
      <w:r w:rsidRPr="004E7BB6">
        <w:rPr>
          <w:sz w:val="24"/>
          <w:szCs w:val="24"/>
        </w:rPr>
        <w:t xml:space="preserve"> odst. 5 ZVZ, ve znění pozdějších předpisů, seznam subdodavatelů, kteří se podíleli na plnění veřejné zakázky, a to vždy do 28. února následujícího kalendářního roku.</w:t>
      </w:r>
    </w:p>
    <w:p w:rsidR="00F30FD4" w:rsidRPr="004E7BB6" w:rsidP="00F30FD4">
      <w:pPr>
        <w:pStyle w:val="Odstavecseseznamem1"/>
        <w:ind w:left="0"/>
        <w:jc w:val="both"/>
        <w:rPr>
          <w:b/>
          <w:sz w:val="24"/>
          <w:szCs w:val="24"/>
        </w:rPr>
      </w:pPr>
    </w:p>
    <w:p w:rsidR="00F30FD4" w:rsidRPr="004E7BB6" w:rsidP="00F30FD4">
      <w:pPr>
        <w:pStyle w:val="Odstavecseseznamem1"/>
        <w:spacing w:after="120"/>
        <w:ind w:left="0"/>
        <w:jc w:val="center"/>
        <w:rPr>
          <w:b/>
          <w:sz w:val="24"/>
          <w:szCs w:val="24"/>
        </w:rPr>
      </w:pPr>
      <w:r w:rsidRPr="004E7BB6">
        <w:rPr>
          <w:b/>
          <w:sz w:val="24"/>
          <w:szCs w:val="24"/>
        </w:rPr>
        <w:t>XI. OSTATNÍ UJEDNÁNÍ</w:t>
      </w:r>
    </w:p>
    <w:p w:rsidR="00F30FD4" w:rsidRPr="004E7BB6" w:rsidP="00F30FD4">
      <w:pPr>
        <w:spacing w:after="120"/>
        <w:jc w:val="both"/>
        <w:rPr>
          <w:rFonts w:ascii="Times New Roman" w:hAnsi="Times New Roman"/>
          <w:sz w:val="24"/>
          <w:szCs w:val="24"/>
        </w:rPr>
      </w:pPr>
      <w:r w:rsidRPr="004E7BB6">
        <w:rPr>
          <w:rFonts w:ascii="Times New Roman" w:hAnsi="Times New Roman"/>
          <w:sz w:val="24"/>
          <w:szCs w:val="24"/>
        </w:rPr>
        <w:t>12.1 Tuto Smlouvu lze měnit anebo doplňovat pouze písemnými dodatky takto označovanými a číslovanými vzestupnou řadou po dohodě obou Smluvních stran a podepsanými oprávněnými zástupci Smluvních stran. Jiná ujednání jsou neplatná.</w:t>
      </w:r>
    </w:p>
    <w:p w:rsidR="00F30FD4" w:rsidRPr="004E7BB6" w:rsidP="00F30FD4">
      <w:pPr>
        <w:tabs>
          <w:tab w:val="left" w:pos="360"/>
        </w:tabs>
        <w:spacing w:after="120"/>
        <w:jc w:val="both"/>
        <w:rPr>
          <w:rFonts w:ascii="Times New Roman" w:hAnsi="Times New Roman"/>
          <w:sz w:val="24"/>
          <w:szCs w:val="24"/>
        </w:rPr>
      </w:pPr>
      <w:r w:rsidRPr="004E7BB6">
        <w:rPr>
          <w:rFonts w:ascii="Times New Roman" w:hAnsi="Times New Roman"/>
          <w:sz w:val="24"/>
          <w:szCs w:val="24"/>
        </w:rPr>
        <w:t>12.2 Tato Smlouva je vyhotovena v pěti stejnopisech, z nichž každý má platnost originálu. Po podpisu obdrží Objednatel dvě vyhotovení Smlouvy a Poskytovatel tři vyhotovení Smlouvy.</w:t>
      </w:r>
    </w:p>
    <w:p w:rsidR="00F30FD4" w:rsidRPr="004E7BB6" w:rsidP="00F30FD4">
      <w:pPr>
        <w:tabs>
          <w:tab w:val="left" w:pos="5580"/>
        </w:tabs>
        <w:spacing w:after="120"/>
        <w:jc w:val="both"/>
        <w:rPr>
          <w:rFonts w:ascii="Times New Roman" w:hAnsi="Times New Roman"/>
          <w:sz w:val="24"/>
          <w:szCs w:val="24"/>
        </w:rPr>
      </w:pPr>
    </w:p>
    <w:p w:rsidR="00F30FD4" w:rsidRPr="004E7BB6" w:rsidP="00F30FD4">
      <w:pPr>
        <w:tabs>
          <w:tab w:val="left" w:pos="5580"/>
        </w:tabs>
        <w:spacing w:after="120"/>
        <w:jc w:val="both"/>
        <w:rPr>
          <w:rFonts w:ascii="Times New Roman" w:hAnsi="Times New Roman"/>
          <w:sz w:val="24"/>
          <w:szCs w:val="24"/>
        </w:rPr>
      </w:pPr>
      <w:r w:rsidRPr="004E7BB6">
        <w:rPr>
          <w:rFonts w:ascii="Times New Roman" w:hAnsi="Times New Roman"/>
          <w:sz w:val="24"/>
          <w:szCs w:val="24"/>
        </w:rPr>
        <w:t>V Praze, dne         2014</w:t>
      </w:r>
      <w:r w:rsidRPr="004E7BB6">
        <w:rPr>
          <w:rFonts w:ascii="Times New Roman" w:hAnsi="Times New Roman"/>
          <w:sz w:val="24"/>
          <w:szCs w:val="24"/>
        </w:rPr>
        <w:tab/>
        <w:t>V Praze, dne         2014</w:t>
      </w:r>
    </w:p>
    <w:p w:rsidR="00F30FD4" w:rsidRPr="004E7BB6" w:rsidP="00F30FD4">
      <w:pPr>
        <w:spacing w:after="120"/>
        <w:jc w:val="both"/>
        <w:rPr>
          <w:rFonts w:ascii="Times New Roman" w:hAnsi="Times New Roman"/>
          <w:sz w:val="24"/>
          <w:szCs w:val="24"/>
        </w:rPr>
      </w:pPr>
    </w:p>
    <w:p w:rsidR="00F30FD4" w:rsidRPr="004E7BB6" w:rsidP="00F30FD4">
      <w:pPr>
        <w:spacing w:after="120"/>
        <w:jc w:val="both"/>
        <w:rPr>
          <w:rFonts w:ascii="Times New Roman" w:hAnsi="Times New Roman"/>
          <w:sz w:val="24"/>
          <w:szCs w:val="24"/>
        </w:rPr>
      </w:pPr>
    </w:p>
    <w:p w:rsidR="00F30FD4" w:rsidRPr="004E7BB6" w:rsidP="00F30FD4">
      <w:pPr>
        <w:tabs>
          <w:tab w:val="left" w:pos="5580"/>
        </w:tabs>
        <w:spacing w:after="120"/>
        <w:jc w:val="both"/>
        <w:rPr>
          <w:rFonts w:ascii="Times New Roman" w:hAnsi="Times New Roman"/>
          <w:sz w:val="24"/>
          <w:szCs w:val="24"/>
        </w:rPr>
      </w:pPr>
      <w:r w:rsidRPr="004E7BB6">
        <w:rPr>
          <w:rFonts w:ascii="Times New Roman" w:hAnsi="Times New Roman"/>
          <w:sz w:val="24"/>
          <w:szCs w:val="24"/>
        </w:rPr>
        <w:t>…………………………</w:t>
      </w:r>
      <w:r w:rsidRPr="004E7BB6">
        <w:rPr>
          <w:rFonts w:ascii="Times New Roman" w:hAnsi="Times New Roman"/>
          <w:sz w:val="24"/>
          <w:szCs w:val="24"/>
        </w:rPr>
        <w:tab/>
        <w:t>………………….………</w:t>
      </w:r>
    </w:p>
    <w:p w:rsidR="00F30FD4" w:rsidRPr="004E7BB6" w:rsidP="00F30FD4">
      <w:pPr>
        <w:tabs>
          <w:tab w:val="left" w:pos="5580"/>
        </w:tabs>
        <w:spacing w:after="120"/>
        <w:jc w:val="both"/>
        <w:rPr>
          <w:rFonts w:ascii="Times New Roman" w:hAnsi="Times New Roman"/>
          <w:sz w:val="24"/>
          <w:szCs w:val="24"/>
          <w:highlight w:val="yellow"/>
        </w:rPr>
      </w:pPr>
    </w:p>
    <w:p w:rsidR="00F30FD4" w:rsidRPr="004E7BB6" w:rsidP="00F30FD4">
      <w:pPr>
        <w:tabs>
          <w:tab w:val="left" w:pos="5580"/>
        </w:tabs>
        <w:spacing w:after="120"/>
        <w:jc w:val="both"/>
        <w:rPr>
          <w:rFonts w:ascii="Times New Roman" w:hAnsi="Times New Roman"/>
          <w:sz w:val="24"/>
          <w:szCs w:val="24"/>
        </w:rPr>
      </w:pPr>
      <w:r w:rsidRPr="004E7BB6">
        <w:rPr>
          <w:rFonts w:ascii="Times New Roman" w:hAnsi="Times New Roman"/>
          <w:sz w:val="24"/>
          <w:szCs w:val="24"/>
        </w:rPr>
        <w:t xml:space="preserve">Ing.  Andrej </w:t>
      </w:r>
      <w:r w:rsidRPr="004E7BB6">
        <w:rPr>
          <w:rFonts w:ascii="Times New Roman" w:hAnsi="Times New Roman"/>
          <w:sz w:val="24"/>
          <w:szCs w:val="24"/>
        </w:rPr>
        <w:t>Babiš</w:t>
      </w:r>
      <w:r w:rsidRPr="004E7BB6">
        <w:rPr>
          <w:rFonts w:ascii="Times New Roman" w:hAnsi="Times New Roman"/>
          <w:sz w:val="24"/>
          <w:szCs w:val="24"/>
        </w:rPr>
        <w:t xml:space="preserve"> </w:t>
      </w:r>
    </w:p>
    <w:p w:rsidR="00F30FD4" w:rsidRPr="004E7BB6" w:rsidP="00F30FD4">
      <w:pPr>
        <w:tabs>
          <w:tab w:val="left" w:pos="5580"/>
        </w:tabs>
        <w:spacing w:after="120"/>
        <w:jc w:val="both"/>
        <w:rPr>
          <w:rFonts w:ascii="Times New Roman" w:hAnsi="Times New Roman"/>
          <w:sz w:val="24"/>
          <w:szCs w:val="24"/>
        </w:rPr>
      </w:pPr>
      <w:r w:rsidRPr="004E7BB6">
        <w:rPr>
          <w:rFonts w:ascii="Times New Roman" w:hAnsi="Times New Roman"/>
          <w:sz w:val="24"/>
          <w:szCs w:val="24"/>
        </w:rPr>
        <w:t>ministr financí České republiky</w:t>
      </w:r>
      <w:r w:rsidRPr="004E7BB6">
        <w:rPr>
          <w:rFonts w:ascii="Times New Roman" w:hAnsi="Times New Roman"/>
          <w:sz w:val="24"/>
          <w:szCs w:val="24"/>
        </w:rPr>
        <w:t xml:space="preserve"> </w:t>
      </w:r>
    </w:p>
    <w:p w:rsidR="00F30FD4" w:rsidRPr="004E7BB6" w:rsidP="00F30FD4">
      <w:pPr>
        <w:tabs>
          <w:tab w:val="left" w:pos="5580"/>
        </w:tabs>
        <w:spacing w:after="120"/>
        <w:jc w:val="both"/>
        <w:rPr>
          <w:rFonts w:ascii="Times New Roman" w:hAnsi="Times New Roman"/>
          <w:sz w:val="24"/>
          <w:szCs w:val="24"/>
        </w:rPr>
      </w:pPr>
    </w:p>
    <w:p w:rsidR="00F30FD4" w:rsidRPr="004E7BB6" w:rsidP="00F30FD4">
      <w:pPr>
        <w:tabs>
          <w:tab w:val="left" w:pos="5580"/>
        </w:tabs>
        <w:spacing w:after="120"/>
        <w:jc w:val="both"/>
        <w:rPr>
          <w:rFonts w:ascii="Times New Roman" w:hAnsi="Times New Roman"/>
          <w:sz w:val="24"/>
          <w:szCs w:val="24"/>
        </w:rPr>
      </w:pPr>
      <w:r w:rsidRPr="004E7BB6">
        <w:rPr>
          <w:rFonts w:ascii="Times New Roman" w:hAnsi="Times New Roman"/>
          <w:sz w:val="24"/>
          <w:szCs w:val="24"/>
        </w:rPr>
        <w:t>Česká republika – Ministerstvo financí</w:t>
      </w:r>
      <w:r w:rsidRPr="004E7BB6">
        <w:rPr>
          <w:rFonts w:ascii="Times New Roman" w:hAnsi="Times New Roman"/>
          <w:sz w:val="24"/>
          <w:szCs w:val="24"/>
        </w:rPr>
        <w:tab/>
      </w:r>
    </w:p>
    <w:p w:rsidR="00890ABD"/>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232EE"/>
    <w:multiLevelType w:val="multilevel"/>
    <w:tmpl w:val="CA9EA9B2"/>
    <w:lvl w:ilvl="0">
      <w:start w:val="6"/>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40" w:hanging="360"/>
      </w:pPr>
      <w:rPr>
        <w:rFonts w:ascii="Calibri" w:eastAsia="Times New Roman" w:hAnsi="Calibri" w:cs="Calibri"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2340"/>
        </w:tabs>
        <w:ind w:left="54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1">
    <w:nsid w:val="1D6A2E7A"/>
    <w:multiLevelType w:val="multilevel"/>
    <w:tmpl w:val="7362ECF4"/>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83"/>
        </w:tabs>
        <w:ind w:left="783" w:hanging="570"/>
      </w:pPr>
      <w:rPr>
        <w:rFonts w:cs="Times New Roman" w:hint="default"/>
      </w:rPr>
    </w:lvl>
    <w:lvl w:ilvl="2">
      <w:start w:val="2"/>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864"/>
        </w:tabs>
        <w:ind w:left="3864" w:hanging="2160"/>
      </w:pPr>
      <w:rPr>
        <w:rFonts w:cs="Times New Roman" w:hint="default"/>
      </w:rPr>
    </w:lvl>
  </w:abstractNum>
  <w:abstractNum w:abstractNumId="2">
    <w:nsid w:val="52BE19F0"/>
    <w:multiLevelType w:val="hybridMultilevel"/>
    <w:tmpl w:val="2464921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662603E7"/>
    <w:multiLevelType w:val="hybridMultilevel"/>
    <w:tmpl w:val="BEBCD8DA"/>
    <w:lvl w:ilvl="0">
      <w:start w:val="1"/>
      <w:numFmt w:val="upperRoman"/>
      <w:lvlText w:val="%1."/>
      <w:lvlJc w:val="left"/>
      <w:pPr>
        <w:ind w:left="2280" w:hanging="720"/>
      </w:pPr>
      <w:rPr>
        <w:rFonts w:cs="Times New Roman" w:hint="default"/>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D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30FD4"/>
    <w:pPr>
      <w:autoSpaceDE w:val="0"/>
      <w:autoSpaceDN w:val="0"/>
      <w:adjustRightInd w:val="0"/>
      <w:spacing w:after="0" w:line="240" w:lineRule="auto"/>
    </w:pPr>
    <w:rPr>
      <w:rFonts w:ascii="EYInterstate" w:eastAsia="Times New Roman" w:hAnsi="EYInterstate" w:cs="EYInterstate"/>
      <w:color w:val="000000"/>
      <w:sz w:val="24"/>
      <w:szCs w:val="24"/>
    </w:rPr>
  </w:style>
  <w:style w:type="paragraph" w:styleId="BodyTextIndent">
    <w:name w:val="Body Text Indent"/>
    <w:basedOn w:val="BodyText"/>
    <w:link w:val="ZkladntextodsazenChar"/>
    <w:uiPriority w:val="99"/>
    <w:rsid w:val="00F30FD4"/>
    <w:pPr>
      <w:spacing w:before="130" w:after="130" w:line="240" w:lineRule="auto"/>
      <w:ind w:left="340"/>
      <w:jc w:val="both"/>
    </w:pPr>
    <w:rPr>
      <w:rFonts w:ascii="Times New Roman" w:hAnsi="Times New Roman"/>
      <w:szCs w:val="20"/>
    </w:rPr>
  </w:style>
  <w:style w:type="character" w:customStyle="1" w:styleId="ZkladntextodsazenChar">
    <w:name w:val="Základní text odsazený Char"/>
    <w:basedOn w:val="DefaultParagraphFont"/>
    <w:link w:val="BodyTextIndent"/>
    <w:uiPriority w:val="99"/>
    <w:rsid w:val="00F30FD4"/>
    <w:rPr>
      <w:rFonts w:ascii="Times New Roman" w:eastAsia="Times New Roman" w:hAnsi="Times New Roman" w:cs="Times New Roman"/>
      <w:szCs w:val="20"/>
    </w:rPr>
  </w:style>
  <w:style w:type="paragraph" w:customStyle="1" w:styleId="Odstavecseseznamem1">
    <w:name w:val="Odstavec se seznamem1"/>
    <w:basedOn w:val="Normal"/>
    <w:link w:val="ListParagraphChar"/>
    <w:uiPriority w:val="99"/>
    <w:qFormat/>
    <w:rsid w:val="00F30FD4"/>
    <w:pPr>
      <w:spacing w:after="0" w:line="240" w:lineRule="auto"/>
      <w:ind w:left="720"/>
    </w:pPr>
    <w:rPr>
      <w:rFonts w:ascii="Times New Roman" w:hAnsi="Times New Roman"/>
      <w:szCs w:val="20"/>
    </w:rPr>
  </w:style>
  <w:style w:type="character" w:customStyle="1" w:styleId="ListParagraphChar">
    <w:name w:val="List Paragraph Char"/>
    <w:link w:val="Odstavecseseznamem1"/>
    <w:uiPriority w:val="99"/>
    <w:locked/>
    <w:rsid w:val="00F30FD4"/>
    <w:rPr>
      <w:rFonts w:ascii="Times New Roman" w:eastAsia="Times New Roman" w:hAnsi="Times New Roman" w:cs="Times New Roman"/>
      <w:szCs w:val="20"/>
    </w:rPr>
  </w:style>
  <w:style w:type="character" w:styleId="Hyperlink">
    <w:name w:val="Hyperlink"/>
    <w:uiPriority w:val="99"/>
    <w:rsid w:val="00F30FD4"/>
    <w:rPr>
      <w:rFonts w:cs="Times New Roman"/>
      <w:color w:val="0000FF"/>
      <w:u w:val="single"/>
    </w:rPr>
  </w:style>
  <w:style w:type="paragraph" w:styleId="BodyText">
    <w:name w:val="Body Text"/>
    <w:basedOn w:val="Normal"/>
    <w:link w:val="ZkladntextChar"/>
    <w:uiPriority w:val="99"/>
    <w:semiHidden/>
    <w:unhideWhenUsed/>
    <w:rsid w:val="00F30FD4"/>
    <w:pPr>
      <w:spacing w:after="120"/>
    </w:pPr>
  </w:style>
  <w:style w:type="character" w:customStyle="1" w:styleId="ZkladntextChar">
    <w:name w:val="Základní text Char"/>
    <w:basedOn w:val="DefaultParagraphFont"/>
    <w:link w:val="BodyText"/>
    <w:uiPriority w:val="99"/>
    <w:semiHidden/>
    <w:rsid w:val="00F30FD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11</Pages>
  <Words>3415</Words>
  <Characters>20149</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2014-02-12T09:31:00Z</dcterms:created>
</cp:coreProperties>
</file>