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3442"/>
        <w:gridCol w:w="4354"/>
      </w:tblGrid>
      <w:tr w:rsidTr="004D0CB9">
        <w:tblPrEx>
          <w:tblW w:w="928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632"/>
        </w:trPr>
        <w:tc>
          <w:tcPr>
            <w:tcW w:w="1488" w:type="dxa"/>
          </w:tcPr>
          <w:p w:rsidR="009702A6" w:rsidRPr="00CE0F06" w:rsidP="00374FD3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CE0F06">
              <w:rPr>
                <w:rFonts w:ascii="Arial" w:hAnsi="Arial" w:cs="Arial"/>
              </w:rPr>
              <w:br w:type="page"/>
            </w:r>
            <w:r w:rsidRPr="00CE0F06">
              <w:rPr>
                <w:rFonts w:ascii="Arial" w:hAnsi="Arial" w:cs="Arial"/>
                <w:sz w:val="32"/>
              </w:rPr>
              <w:br w:type="page"/>
            </w:r>
            <w:r w:rsidR="00B42224">
              <w:rPr>
                <w:rFonts w:ascii="Arial" w:hAnsi="Arial" w:cs="Arial"/>
                <w:noProof/>
              </w:rPr>
              <w:drawing>
                <wp:inline distT="0" distB="0" distL="0" distR="0">
                  <wp:extent cx="880110" cy="1026795"/>
                  <wp:effectExtent l="0" t="0" r="0" b="190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gridSpan w:val="2"/>
          </w:tcPr>
          <w:p w:rsidR="009702A6" w:rsidRPr="00195496" w:rsidP="00374FD3">
            <w:pPr>
              <w:pStyle w:val="Heading7"/>
              <w:ind w:left="0" w:firstLine="0"/>
              <w:jc w:val="center"/>
              <w:rPr>
                <w:rFonts w:ascii="Arial" w:hAnsi="Arial" w:cs="Arial"/>
                <w:sz w:val="32"/>
              </w:rPr>
            </w:pPr>
          </w:p>
          <w:p w:rsidR="009702A6" w:rsidRPr="00195496" w:rsidP="00374FD3">
            <w:pPr>
              <w:pStyle w:val="Heading7"/>
              <w:ind w:left="0" w:firstLine="0"/>
              <w:jc w:val="center"/>
              <w:rPr>
                <w:rFonts w:ascii="Arial" w:hAnsi="Arial" w:cs="Arial"/>
                <w:sz w:val="32"/>
              </w:rPr>
            </w:pPr>
            <w:r w:rsidRPr="00195496">
              <w:rPr>
                <w:rFonts w:ascii="Arial" w:hAnsi="Arial" w:cs="Arial"/>
                <w:sz w:val="32"/>
              </w:rPr>
              <w:t>MINISTERSTVO FINANCÍ ČESKÉ REPUBLIKY</w:t>
            </w:r>
          </w:p>
          <w:p w:rsidR="009702A6" w:rsidRPr="00195496" w:rsidP="00374FD3">
            <w:pPr>
              <w:pStyle w:val="Vnitnadresa"/>
              <w:spacing w:line="240" w:lineRule="auto"/>
              <w:rPr>
                <w:rFonts w:cs="Arial"/>
                <w:spacing w:val="0"/>
              </w:rPr>
            </w:pPr>
          </w:p>
          <w:p w:rsidR="009702A6" w:rsidRPr="00FD68AA" w:rsidP="00374F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Finanční analytický útvar</w:t>
            </w:r>
          </w:p>
        </w:tc>
      </w:tr>
      <w:tr w:rsidTr="004D0CB9">
        <w:tblPrEx>
          <w:tblW w:w="9284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9284" w:type="dxa"/>
            <w:gridSpan w:val="3"/>
          </w:tcPr>
          <w:p w:rsidR="009702A6" w:rsidRPr="00195496" w:rsidP="00B62A36">
            <w:pPr>
              <w:pStyle w:val="Heading1"/>
              <w:pBdr>
                <w:bottom w:val="single" w:sz="6" w:space="1" w:color="auto"/>
              </w:pBdr>
              <w:rPr>
                <w:b w:val="0"/>
                <w:bCs/>
                <w:sz w:val="2"/>
              </w:rPr>
            </w:pPr>
          </w:p>
          <w:p w:rsidR="009702A6" w:rsidRPr="004E40D0" w:rsidP="00B62A36">
            <w:pPr>
              <w:pStyle w:val="Heading1"/>
              <w:rPr>
                <w:b w:val="0"/>
                <w:spacing w:val="32"/>
                <w:sz w:val="18"/>
                <w:szCs w:val="18"/>
              </w:rPr>
            </w:pPr>
            <w:r w:rsidRPr="004E40D0">
              <w:rPr>
                <w:rFonts w:ascii="Wingdings" w:hAnsi="Wingdings"/>
                <w:b w:val="0"/>
                <w:spacing w:val="32"/>
                <w:sz w:val="18"/>
                <w:szCs w:val="18"/>
              </w:rPr>
              <w:sym w:font="Wingdings" w:char="F02A"/>
            </w:r>
            <w:r w:rsidRPr="004E40D0">
              <w:rPr>
                <w:b w:val="0"/>
                <w:spacing w:val="32"/>
                <w:sz w:val="18"/>
                <w:szCs w:val="18"/>
              </w:rPr>
              <w:t>: pošt. přihrádka 675, Jindřišská 14, 111 21  Praha 1, dat. schránka: meiq7wd</w:t>
            </w:r>
          </w:p>
          <w:p w:rsidR="009702A6" w:rsidRPr="00195496" w:rsidP="00B62A36">
            <w:pPr>
              <w:pStyle w:val="Heading1"/>
              <w:rPr>
                <w:b w:val="0"/>
                <w:sz w:val="20"/>
              </w:rPr>
            </w:pPr>
            <w:r w:rsidRPr="004E40D0">
              <w:rPr>
                <w:rFonts w:ascii="Wingdings" w:hAnsi="Wingdings"/>
                <w:b w:val="0"/>
                <w:spacing w:val="32"/>
                <w:sz w:val="18"/>
                <w:szCs w:val="18"/>
              </w:rPr>
              <w:sym w:font="Wingdings" w:char="F028"/>
            </w:r>
            <w:r w:rsidRPr="004E40D0">
              <w:rPr>
                <w:b w:val="0"/>
                <w:spacing w:val="32"/>
                <w:sz w:val="18"/>
                <w:szCs w:val="18"/>
              </w:rPr>
              <w:t>: +420 257 044 501; fax: +420 257 044 502</w:t>
            </w:r>
          </w:p>
        </w:tc>
      </w:tr>
      <w:tr w:rsidTr="004D0CB9">
        <w:tblPrEx>
          <w:tblW w:w="928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73"/>
        </w:trPr>
        <w:tc>
          <w:tcPr>
            <w:tcW w:w="4930" w:type="dxa"/>
            <w:gridSpan w:val="2"/>
          </w:tcPr>
          <w:p w:rsidR="009702A6" w:rsidRPr="00195496" w:rsidP="00B62A36">
            <w:pPr>
              <w:pStyle w:val="Vnitnadresa"/>
              <w:spacing w:line="240" w:lineRule="auto"/>
              <w:rPr>
                <w:spacing w:val="0"/>
              </w:rPr>
            </w:pPr>
          </w:p>
        </w:tc>
        <w:tc>
          <w:tcPr>
            <w:tcW w:w="4354" w:type="dxa"/>
          </w:tcPr>
          <w:p w:rsidR="009702A6" w:rsidRPr="00195496" w:rsidP="00121A62">
            <w:pPr>
              <w:pStyle w:val="Date"/>
              <w:spacing w:before="60" w:after="0" w:line="240" w:lineRule="auto"/>
              <w:ind w:left="0"/>
              <w:jc w:val="right"/>
              <w:rPr>
                <w:rFonts w:cs="Arial"/>
                <w:spacing w:val="0"/>
                <w:sz w:val="22"/>
              </w:rPr>
            </w:pPr>
            <w:r w:rsidRPr="00195496">
              <w:rPr>
                <w:rFonts w:cs="Arial"/>
                <w:spacing w:val="0"/>
                <w:sz w:val="22"/>
              </w:rPr>
              <w:t>Č.j.: FAU-</w:t>
            </w:r>
            <w:r w:rsidR="00121A62">
              <w:rPr>
                <w:rFonts w:cs="Arial"/>
                <w:spacing w:val="0"/>
                <w:sz w:val="22"/>
              </w:rPr>
              <w:t>66255</w:t>
            </w:r>
            <w:r w:rsidRPr="00195496">
              <w:rPr>
                <w:rFonts w:cs="Arial"/>
                <w:spacing w:val="0"/>
                <w:sz w:val="22"/>
              </w:rPr>
              <w:t>/201</w:t>
            </w:r>
            <w:r>
              <w:rPr>
                <w:rFonts w:cs="Arial"/>
                <w:spacing w:val="0"/>
                <w:sz w:val="22"/>
              </w:rPr>
              <w:t>6</w:t>
            </w:r>
            <w:r w:rsidRPr="00195496">
              <w:rPr>
                <w:rFonts w:cs="Arial"/>
                <w:spacing w:val="0"/>
                <w:sz w:val="22"/>
              </w:rPr>
              <w:t>/24</w:t>
            </w:r>
          </w:p>
        </w:tc>
      </w:tr>
    </w:tbl>
    <w:p w:rsidR="009702A6" w:rsidRPr="008A4280" w:rsidP="00B62A36">
      <w:pPr>
        <w:spacing w:before="360" w:after="360" w:line="240" w:lineRule="auto"/>
        <w:jc w:val="center"/>
        <w:rPr>
          <w:rFonts w:ascii="Arial" w:hAnsi="Arial" w:cs="Arial"/>
          <w:b/>
          <w:vertAlign w:val="superscript"/>
        </w:rPr>
      </w:pPr>
      <w:r w:rsidRPr="00195496">
        <w:rPr>
          <w:rFonts w:ascii="Arial" w:hAnsi="Arial" w:cs="Arial"/>
          <w:b/>
          <w:caps/>
        </w:rPr>
        <w:t xml:space="preserve">Metodický Pokyn </w:t>
      </w:r>
      <w:r w:rsidRPr="00195496">
        <w:rPr>
          <w:rFonts w:ascii="Arial" w:hAnsi="Arial" w:cs="Arial"/>
          <w:b/>
        </w:rPr>
        <w:t>č. </w:t>
      </w:r>
      <w:r w:rsidR="00C0384F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br/>
      </w:r>
      <w:r w:rsidRPr="00195496">
        <w:rPr>
          <w:rFonts w:ascii="Arial" w:hAnsi="Arial" w:cs="Arial"/>
          <w:b/>
        </w:rPr>
        <w:t>Finančního analytického útvaru Ministerstva financí</w:t>
      </w:r>
      <w:r>
        <w:rPr>
          <w:rFonts w:ascii="Arial" w:hAnsi="Arial" w:cs="Arial"/>
          <w:b/>
        </w:rPr>
        <w:br/>
      </w:r>
      <w:r w:rsidRPr="00195496">
        <w:rPr>
          <w:rFonts w:ascii="Arial" w:hAnsi="Arial" w:cs="Arial"/>
        </w:rPr>
        <w:t>ze dne</w:t>
      </w:r>
      <w:r w:rsidR="006938E4">
        <w:rPr>
          <w:rFonts w:ascii="Arial" w:hAnsi="Arial" w:cs="Arial"/>
        </w:rPr>
        <w:t xml:space="preserve"> </w:t>
      </w:r>
      <w:r w:rsidR="004D0CB9">
        <w:rPr>
          <w:rFonts w:ascii="Arial" w:hAnsi="Arial" w:cs="Arial"/>
        </w:rPr>
        <w:t>22</w:t>
      </w:r>
      <w:r w:rsidR="006938E4">
        <w:rPr>
          <w:rFonts w:ascii="Arial" w:hAnsi="Arial" w:cs="Arial"/>
        </w:rPr>
        <w:t>. prosince</w:t>
      </w:r>
      <w:r>
        <w:rPr>
          <w:rFonts w:ascii="Arial" w:hAnsi="Arial" w:cs="Arial"/>
        </w:rPr>
        <w:t xml:space="preserve"> </w:t>
      </w:r>
      <w:r w:rsidRPr="00195496">
        <w:rPr>
          <w:rFonts w:ascii="Arial" w:hAnsi="Arial" w:cs="Arial"/>
        </w:rPr>
        <w:t>201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br/>
      </w:r>
      <w:r w:rsidRPr="00195496">
        <w:rPr>
          <w:rFonts w:ascii="Arial" w:hAnsi="Arial" w:cs="Arial"/>
          <w:b/>
        </w:rPr>
        <w:t>určený povinným osobám</w:t>
      </w:r>
      <w:r w:rsidR="004841A6">
        <w:rPr>
          <w:rFonts w:ascii="Arial" w:hAnsi="Arial" w:cs="Arial"/>
          <w:b/>
        </w:rPr>
        <w:t xml:space="preserve"> </w:t>
      </w:r>
      <w:r w:rsidRPr="008A4280" w:rsidR="008A4280">
        <w:rPr>
          <w:rFonts w:ascii="Arial" w:hAnsi="Arial" w:cs="Arial"/>
          <w:b/>
        </w:rPr>
        <w:t>podle § 2 zákona č. 253/2008 Sb.</w:t>
      </w:r>
      <w:r>
        <w:rPr>
          <w:rStyle w:val="FootnoteReference"/>
          <w:rFonts w:ascii="Arial" w:hAnsi="Arial" w:cs="Arial"/>
          <w:b/>
        </w:rPr>
        <w:footnoteReference w:id="2"/>
      </w:r>
      <w:r w:rsidR="008A4280">
        <w:rPr>
          <w:rFonts w:ascii="Arial" w:hAnsi="Arial" w:cs="Arial"/>
          <w:b/>
          <w:vertAlign w:val="superscript"/>
        </w:rPr>
        <w:t>)</w:t>
      </w:r>
    </w:p>
    <w:p w:rsidR="003A2C63" w:rsidP="00FA175A">
      <w:pPr>
        <w:spacing w:before="120" w:after="36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OPATŘENÍ VŮČI POLITICKY EXPONOVANÝM OSOBÁM</w:t>
      </w:r>
      <w:r w:rsidR="00E9041E">
        <w:rPr>
          <w:rFonts w:ascii="Arial" w:hAnsi="Arial" w:cs="Arial"/>
          <w:b/>
          <w:caps/>
        </w:rPr>
        <w:t xml:space="preserve"> </w:t>
      </w:r>
      <w:r w:rsidR="00E96DC6">
        <w:rPr>
          <w:rFonts w:ascii="Arial" w:hAnsi="Arial" w:cs="Arial"/>
          <w:b/>
          <w:caps/>
        </w:rPr>
        <w:br/>
      </w:r>
      <w:r w:rsidR="00E9041E">
        <w:rPr>
          <w:rFonts w:ascii="Arial" w:hAnsi="Arial" w:cs="Arial"/>
          <w:b/>
          <w:caps/>
        </w:rPr>
        <w:t>v návaznosti na aktuální jednání v</w:t>
      </w:r>
      <w:r w:rsidR="009660CA">
        <w:rPr>
          <w:rFonts w:ascii="Arial" w:hAnsi="Arial" w:cs="Arial"/>
          <w:b/>
          <w:caps/>
        </w:rPr>
        <w:t> </w:t>
      </w:r>
      <w:r w:rsidR="00E9041E">
        <w:rPr>
          <w:rFonts w:ascii="Arial" w:hAnsi="Arial" w:cs="Arial"/>
          <w:b/>
          <w:caps/>
        </w:rPr>
        <w:t>EU</w:t>
      </w:r>
    </w:p>
    <w:p w:rsidR="009660CA" w:rsidP="00504E87">
      <w:pPr>
        <w:spacing w:before="600" w:after="12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88628E">
        <w:rPr>
          <w:rFonts w:ascii="Arial" w:hAnsi="Arial" w:cs="Arial"/>
          <w:i/>
        </w:rPr>
        <w:t>Finanční analytický útvar Ministerstva financí (</w:t>
      </w:r>
      <w:r>
        <w:rPr>
          <w:rFonts w:ascii="Arial" w:hAnsi="Arial" w:cs="Arial"/>
          <w:i/>
        </w:rPr>
        <w:t xml:space="preserve">do konce roku 2016, od 1. </w:t>
      </w:r>
      <w:r w:rsidR="004D0CB9">
        <w:rPr>
          <w:rFonts w:ascii="Arial" w:hAnsi="Arial" w:cs="Arial"/>
          <w:i/>
        </w:rPr>
        <w:t>ledna</w:t>
      </w:r>
      <w:r>
        <w:rPr>
          <w:rFonts w:ascii="Arial" w:hAnsi="Arial" w:cs="Arial"/>
          <w:i/>
        </w:rPr>
        <w:t xml:space="preserve"> 2017 Finanční analytický úřad; dále jen „FAÚ“</w:t>
      </w:r>
      <w:r w:rsidRPr="0088628E">
        <w:rPr>
          <w:rFonts w:ascii="Arial" w:hAnsi="Arial" w:cs="Arial"/>
          <w:i/>
        </w:rPr>
        <w:t>) v rámci své působnosti zajišťuje úkoly, které pro něj vyplývají ze zvláštních právních předpisů pro boj proti legalizaci výnosů z trestné činnosti a financování terorismu a právních předpisů, které upravují uplatňování mezinárodních sankcí za účelem udržování a obnovy mezinárodního míru a bezpečnosti, ochrany lidsk</w:t>
      </w:r>
      <w:r>
        <w:rPr>
          <w:rFonts w:ascii="Arial" w:hAnsi="Arial" w:cs="Arial"/>
          <w:i/>
        </w:rPr>
        <w:t>ých práv a boje proti terorismu.</w:t>
      </w:r>
      <w:r w:rsidRPr="0088628E">
        <w:rPr>
          <w:rFonts w:ascii="Arial" w:hAnsi="Arial" w:cs="Arial"/>
          <w:i/>
        </w:rPr>
        <w:t xml:space="preserve"> </w:t>
      </w:r>
    </w:p>
    <w:p w:rsidR="00DC5983" w:rsidRPr="003A2C63" w:rsidP="00504E87">
      <w:pPr>
        <w:spacing w:before="240" w:after="0" w:line="240" w:lineRule="auto"/>
        <w:jc w:val="both"/>
        <w:rPr>
          <w:rFonts w:ascii="Arial" w:hAnsi="Arial" w:cs="Arial"/>
          <w:b/>
          <w:caps/>
        </w:rPr>
      </w:pPr>
      <w:r w:rsidRPr="00DC5983">
        <w:rPr>
          <w:rFonts w:ascii="Arial" w:hAnsi="Arial" w:cs="Arial"/>
        </w:rPr>
        <w:t xml:space="preserve">Politicky exponovanou osobou </w:t>
      </w:r>
      <w:r w:rsidR="008616D9">
        <w:rPr>
          <w:rFonts w:ascii="Arial" w:hAnsi="Arial" w:cs="Arial"/>
        </w:rPr>
        <w:t xml:space="preserve">(PEP) </w:t>
      </w:r>
      <w:r w:rsidRPr="00DC5983">
        <w:rPr>
          <w:rFonts w:ascii="Arial" w:hAnsi="Arial" w:cs="Arial"/>
        </w:rPr>
        <w:t xml:space="preserve">se v souladu s § 4 odst. 5 AML zákona rozumí osoba, která </w:t>
      </w:r>
      <w:r w:rsidRPr="00DC5983" w:rsidR="00F52D5E">
        <w:rPr>
          <w:rFonts w:ascii="Arial" w:hAnsi="Arial" w:cs="Arial"/>
        </w:rPr>
        <w:t xml:space="preserve">je </w:t>
      </w:r>
      <w:r w:rsidR="00F52D5E">
        <w:rPr>
          <w:rFonts w:ascii="Arial" w:hAnsi="Arial" w:cs="Arial"/>
        </w:rPr>
        <w:t xml:space="preserve">nebo </w:t>
      </w:r>
      <w:r w:rsidR="008616D9">
        <w:rPr>
          <w:rFonts w:ascii="Arial" w:hAnsi="Arial" w:cs="Arial"/>
        </w:rPr>
        <w:t xml:space="preserve">v minulosti </w:t>
      </w:r>
      <w:r w:rsidRPr="00DC5983">
        <w:rPr>
          <w:rFonts w:ascii="Arial" w:hAnsi="Arial" w:cs="Arial"/>
        </w:rPr>
        <w:t xml:space="preserve">byla ve </w:t>
      </w:r>
      <w:r w:rsidR="00F52D5E">
        <w:rPr>
          <w:rFonts w:ascii="Arial" w:hAnsi="Arial" w:cs="Arial"/>
        </w:rPr>
        <w:t xml:space="preserve">významné veřejné </w:t>
      </w:r>
      <w:r w:rsidRPr="00DC5983">
        <w:rPr>
          <w:rFonts w:ascii="Arial" w:hAnsi="Arial" w:cs="Arial"/>
        </w:rPr>
        <w:t>funkci s celostátním nebo regionálním významem a dále osob</w:t>
      </w:r>
      <w:r w:rsidR="00E7002A">
        <w:rPr>
          <w:rFonts w:ascii="Arial" w:hAnsi="Arial" w:cs="Arial"/>
        </w:rPr>
        <w:t>y</w:t>
      </w:r>
      <w:r w:rsidRPr="00DC5983">
        <w:rPr>
          <w:rFonts w:ascii="Arial" w:hAnsi="Arial" w:cs="Arial"/>
        </w:rPr>
        <w:t xml:space="preserve"> na t</w:t>
      </w:r>
      <w:r w:rsidR="00A32C8D">
        <w:rPr>
          <w:rFonts w:ascii="Arial" w:hAnsi="Arial" w:cs="Arial"/>
        </w:rPr>
        <w:t>akovou</w:t>
      </w:r>
      <w:r w:rsidRPr="00DC5983">
        <w:rPr>
          <w:rFonts w:ascii="Arial" w:hAnsi="Arial" w:cs="Arial"/>
        </w:rPr>
        <w:t xml:space="preserve"> osobu napojen</w:t>
      </w:r>
      <w:r w:rsidR="00E7002A">
        <w:rPr>
          <w:rFonts w:ascii="Arial" w:hAnsi="Arial" w:cs="Arial"/>
        </w:rPr>
        <w:t>é</w:t>
      </w:r>
      <w:r w:rsidR="008616D9">
        <w:rPr>
          <w:rFonts w:ascii="Arial" w:hAnsi="Arial" w:cs="Arial"/>
        </w:rPr>
        <w:t xml:space="preserve">. </w:t>
      </w:r>
      <w:r w:rsidR="00B92FB1">
        <w:rPr>
          <w:rFonts w:ascii="Arial" w:hAnsi="Arial" w:cs="Arial"/>
        </w:rPr>
        <w:t>Těmi jsou</w:t>
      </w:r>
      <w:r w:rsidR="008616D9">
        <w:rPr>
          <w:rFonts w:ascii="Arial" w:hAnsi="Arial" w:cs="Arial"/>
        </w:rPr>
        <w:t xml:space="preserve"> osoba blízká</w:t>
      </w:r>
      <w:r w:rsidRPr="00DC5983">
        <w:rPr>
          <w:rFonts w:ascii="Arial" w:hAnsi="Arial" w:cs="Arial"/>
        </w:rPr>
        <w:t>, společník nebo skutečný majitel stejného subjektu, osoba, která je s touto osobou v</w:t>
      </w:r>
      <w:r>
        <w:rPr>
          <w:rFonts w:ascii="Arial" w:hAnsi="Arial" w:cs="Arial"/>
        </w:rPr>
        <w:t> jiném blízkém podnikatelském vztahu nebo je skutečným majitelem subjektu vytvořeného ve prospěch t</w:t>
      </w:r>
      <w:r w:rsidR="00635404">
        <w:rPr>
          <w:rFonts w:ascii="Arial" w:hAnsi="Arial" w:cs="Arial"/>
        </w:rPr>
        <w:t>akové</w:t>
      </w:r>
      <w:r>
        <w:rPr>
          <w:rFonts w:ascii="Arial" w:hAnsi="Arial" w:cs="Arial"/>
        </w:rPr>
        <w:t xml:space="preserve"> osoby. </w:t>
      </w:r>
    </w:p>
    <w:p w:rsidR="00005307" w:rsidP="00005307">
      <w:pPr>
        <w:spacing w:before="120" w:after="0" w:line="240" w:lineRule="auto"/>
        <w:jc w:val="both"/>
        <w:rPr>
          <w:rFonts w:ascii="Arial" w:hAnsi="Arial" w:cs="Arial"/>
        </w:rPr>
      </w:pPr>
      <w:r w:rsidRPr="00005307">
        <w:rPr>
          <w:rFonts w:ascii="Arial" w:hAnsi="Arial" w:cs="Arial"/>
        </w:rPr>
        <w:t xml:space="preserve">Osoba blízká je definována v § 21 odst. 1 občanského zákoníku a rozumí se jí příbuzný </w:t>
      </w:r>
      <w:r w:rsidR="00121A62">
        <w:rPr>
          <w:rFonts w:ascii="Arial" w:hAnsi="Arial" w:cs="Arial"/>
        </w:rPr>
        <w:br/>
      </w:r>
      <w:r w:rsidRPr="00005307">
        <w:rPr>
          <w:rFonts w:ascii="Arial" w:hAnsi="Arial" w:cs="Arial"/>
        </w:rPr>
        <w:t>v řadě přímé, sourozenec a manžel nebo partner podle jiného zákona upravujícího registrované partnerství, osoby sešvagřené a osoby, které spolu trvale žijí, ale také jiné osoby v poměru rodinném nebo obdobném, pokud by újmu, kterou utrpěla jedna z nich, druhá důvodně pociťovala jako újmu vlastní.</w:t>
      </w:r>
      <w:r w:rsidR="00B04C81">
        <w:rPr>
          <w:rFonts w:ascii="Arial" w:hAnsi="Arial" w:cs="Arial"/>
        </w:rPr>
        <w:t xml:space="preserve"> </w:t>
      </w:r>
      <w:r w:rsidRPr="00005307">
        <w:rPr>
          <w:rFonts w:ascii="Arial" w:hAnsi="Arial" w:cs="Arial"/>
        </w:rPr>
        <w:t xml:space="preserve">Blízký podnikatelský vztah je nově definován </w:t>
      </w:r>
      <w:r w:rsidR="00121A62">
        <w:rPr>
          <w:rFonts w:ascii="Arial" w:hAnsi="Arial" w:cs="Arial"/>
        </w:rPr>
        <w:br/>
      </w:r>
      <w:r w:rsidRPr="00005307">
        <w:rPr>
          <w:rFonts w:ascii="Arial" w:hAnsi="Arial" w:cs="Arial"/>
        </w:rPr>
        <w:t xml:space="preserve">v § 4 odst. 11 AML zákona, podle kterého se tímto vztahem rozumí materiální provázanost </w:t>
      </w:r>
      <w:r w:rsidR="00121A62">
        <w:rPr>
          <w:rFonts w:ascii="Arial" w:hAnsi="Arial" w:cs="Arial"/>
        </w:rPr>
        <w:br/>
      </w:r>
      <w:r w:rsidRPr="00005307">
        <w:rPr>
          <w:rFonts w:ascii="Arial" w:hAnsi="Arial" w:cs="Arial"/>
        </w:rPr>
        <w:t>v rámci podnikatelské činnosti, kdy prospěch nebo újmu jedné osoby by mohla druhá osoba důvodně pociťovat jako prospěch či újmu vlastní.</w:t>
      </w:r>
    </w:p>
    <w:p w:rsidR="00DC5983" w:rsidP="00005307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AML zákon v § 4 odst. 5 bod</w:t>
      </w:r>
      <w:r w:rsidR="00635404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a) demonstrativně vyjmenována </w:t>
      </w:r>
      <w:r w:rsidR="008A4280">
        <w:rPr>
          <w:rFonts w:ascii="Arial" w:hAnsi="Arial" w:cs="Arial"/>
        </w:rPr>
        <w:t>funkce</w:t>
      </w:r>
      <w:r>
        <w:rPr>
          <w:rFonts w:ascii="Arial" w:hAnsi="Arial" w:cs="Arial"/>
        </w:rPr>
        <w:t>, na které se tato definice vztahuje. U osob s celostátním významem tato definice obsahuje poměrně přesné vodítko pro jejich určení</w:t>
      </w:r>
      <w:r w:rsidR="008616D9">
        <w:rPr>
          <w:rFonts w:ascii="Arial" w:hAnsi="Arial" w:cs="Arial"/>
        </w:rPr>
        <w:t xml:space="preserve">, a to ve vztahu k domácím i zahraničním </w:t>
      </w:r>
      <w:r w:rsidR="00A462D8">
        <w:rPr>
          <w:rFonts w:ascii="Arial" w:hAnsi="Arial" w:cs="Arial"/>
        </w:rPr>
        <w:t>PEP</w:t>
      </w:r>
      <w:r>
        <w:rPr>
          <w:rFonts w:ascii="Arial" w:hAnsi="Arial" w:cs="Arial"/>
        </w:rPr>
        <w:t>. Ohledně osob</w:t>
      </w:r>
      <w:r w:rsidR="008A4280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 regionálním významem </w:t>
      </w:r>
      <w:r w:rsidR="008616D9">
        <w:rPr>
          <w:rFonts w:ascii="Arial" w:hAnsi="Arial" w:cs="Arial"/>
        </w:rPr>
        <w:t xml:space="preserve">zákon </w:t>
      </w:r>
      <w:r>
        <w:rPr>
          <w:rFonts w:ascii="Arial" w:hAnsi="Arial" w:cs="Arial"/>
        </w:rPr>
        <w:t xml:space="preserve">pouze stanoví, že se jí rozumí vedoucí představitel územní samosprávy. Z hlediska naplnění účelu tohoto </w:t>
      </w:r>
      <w:r w:rsidR="008616D9">
        <w:rPr>
          <w:rFonts w:ascii="Arial" w:hAnsi="Arial" w:cs="Arial"/>
        </w:rPr>
        <w:t>ustanovení</w:t>
      </w:r>
      <w:r>
        <w:rPr>
          <w:rFonts w:ascii="Arial" w:hAnsi="Arial" w:cs="Arial"/>
        </w:rPr>
        <w:t xml:space="preserve"> </w:t>
      </w:r>
      <w:r w:rsidR="00512A03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dostatečné </w:t>
      </w:r>
      <w:r w:rsidR="00512A03">
        <w:rPr>
          <w:rFonts w:ascii="Arial" w:hAnsi="Arial" w:cs="Arial"/>
        </w:rPr>
        <w:t xml:space="preserve">považovat za </w:t>
      </w:r>
      <w:r w:rsidR="005D587F">
        <w:rPr>
          <w:rFonts w:ascii="Arial" w:hAnsi="Arial" w:cs="Arial"/>
        </w:rPr>
        <w:t xml:space="preserve">PEP </w:t>
      </w:r>
      <w:r>
        <w:rPr>
          <w:rFonts w:ascii="Arial" w:hAnsi="Arial" w:cs="Arial"/>
        </w:rPr>
        <w:t>s regionálním významem starost</w:t>
      </w:r>
      <w:r w:rsidR="00EF55AE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D86616">
        <w:rPr>
          <w:rFonts w:ascii="Arial" w:hAnsi="Arial" w:cs="Arial"/>
        </w:rPr>
        <w:t xml:space="preserve">obce (města) nebo osobu v obdobném postavení </w:t>
      </w:r>
      <w:r w:rsidR="00B908F1">
        <w:rPr>
          <w:rFonts w:ascii="Arial" w:hAnsi="Arial" w:cs="Arial"/>
        </w:rPr>
        <w:t>(</w:t>
      </w:r>
      <w:r>
        <w:rPr>
          <w:rFonts w:ascii="Arial" w:hAnsi="Arial" w:cs="Arial"/>
        </w:rPr>
        <w:t>primáto</w:t>
      </w:r>
      <w:r w:rsidR="008616D9">
        <w:rPr>
          <w:rFonts w:ascii="Arial" w:hAnsi="Arial" w:cs="Arial"/>
        </w:rPr>
        <w:t>r</w:t>
      </w:r>
      <w:r w:rsidR="00B908F1">
        <w:rPr>
          <w:rFonts w:ascii="Arial" w:hAnsi="Arial" w:cs="Arial"/>
        </w:rPr>
        <w:t xml:space="preserve">) a </w:t>
      </w:r>
      <w:r w:rsidR="00D13B4F">
        <w:rPr>
          <w:rFonts w:ascii="Arial" w:hAnsi="Arial" w:cs="Arial"/>
        </w:rPr>
        <w:t>hejtman</w:t>
      </w:r>
      <w:r w:rsidR="00B908F1">
        <w:rPr>
          <w:rFonts w:ascii="Arial" w:hAnsi="Arial" w:cs="Arial"/>
        </w:rPr>
        <w:t>a kraje</w:t>
      </w:r>
      <w:r w:rsidR="00EE4D65">
        <w:rPr>
          <w:rFonts w:ascii="Arial" w:hAnsi="Arial" w:cs="Arial"/>
        </w:rPr>
        <w:t xml:space="preserve">; </w:t>
      </w:r>
      <w:r w:rsidR="00ED5445">
        <w:rPr>
          <w:rFonts w:ascii="Arial" w:hAnsi="Arial" w:cs="Arial"/>
        </w:rPr>
        <w:t>v případě zahraničních klientů</w:t>
      </w:r>
      <w:r w:rsidR="00EE4D65">
        <w:rPr>
          <w:rFonts w:ascii="Arial" w:hAnsi="Arial" w:cs="Arial"/>
        </w:rPr>
        <w:t xml:space="preserve"> to mohou být dále například </w:t>
      </w:r>
      <w:r w:rsidR="006E149C">
        <w:rPr>
          <w:rFonts w:ascii="Arial" w:hAnsi="Arial" w:cs="Arial"/>
        </w:rPr>
        <w:t xml:space="preserve">vedoucí </w:t>
      </w:r>
      <w:r w:rsidR="00ED5445">
        <w:rPr>
          <w:rFonts w:ascii="Arial" w:hAnsi="Arial" w:cs="Arial"/>
        </w:rPr>
        <w:t>představitelé zemských orgánů</w:t>
      </w:r>
      <w:r w:rsidR="006E149C">
        <w:rPr>
          <w:rFonts w:ascii="Arial" w:hAnsi="Arial" w:cs="Arial"/>
        </w:rPr>
        <w:t xml:space="preserve"> </w:t>
      </w:r>
      <w:r w:rsidR="005816ED">
        <w:rPr>
          <w:rFonts w:ascii="Arial" w:hAnsi="Arial" w:cs="Arial"/>
        </w:rPr>
        <w:t>ve státech</w:t>
      </w:r>
      <w:r w:rsidR="006E149C">
        <w:rPr>
          <w:rFonts w:ascii="Arial" w:hAnsi="Arial" w:cs="Arial"/>
        </w:rPr>
        <w:t xml:space="preserve"> s federativním uspořádáním</w:t>
      </w:r>
      <w:r w:rsidR="00794833">
        <w:rPr>
          <w:rFonts w:ascii="Arial" w:hAnsi="Arial" w:cs="Arial"/>
        </w:rPr>
        <w:t xml:space="preserve"> (členové zemské vlády, zemského parlamentu apod.)</w:t>
      </w:r>
      <w:r>
        <w:rPr>
          <w:rFonts w:ascii="Arial" w:hAnsi="Arial" w:cs="Arial"/>
        </w:rPr>
        <w:t xml:space="preserve">.  </w:t>
      </w:r>
    </w:p>
    <w:p w:rsidR="000A4C87" w:rsidRPr="000A4C87" w:rsidP="004D0CB9">
      <w:pPr>
        <w:keepNext/>
        <w:spacing w:before="120" w:after="0" w:line="240" w:lineRule="auto"/>
        <w:jc w:val="both"/>
        <w:rPr>
          <w:rFonts w:ascii="Arial" w:hAnsi="Arial" w:cs="Arial"/>
        </w:rPr>
      </w:pPr>
      <w:r w:rsidRPr="000A4C87">
        <w:rPr>
          <w:rFonts w:ascii="Arial" w:hAnsi="Arial" w:cs="Arial"/>
        </w:rPr>
        <w:t>Zda je klient PEP lze zjistit:</w:t>
      </w:r>
    </w:p>
    <w:p w:rsidR="000A4C87" w:rsidRPr="000A4C87" w:rsidP="005D587F">
      <w:pPr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0A4C87">
        <w:rPr>
          <w:rFonts w:ascii="Arial" w:hAnsi="Arial" w:cs="Arial"/>
        </w:rPr>
        <w:t xml:space="preserve">a) </w:t>
      </w:r>
      <w:r w:rsidR="005D587F">
        <w:rPr>
          <w:rFonts w:ascii="Arial" w:hAnsi="Arial" w:cs="Arial"/>
        </w:rPr>
        <w:tab/>
      </w:r>
      <w:r w:rsidRPr="000A4C87">
        <w:rPr>
          <w:rFonts w:ascii="Arial" w:hAnsi="Arial" w:cs="Arial"/>
        </w:rPr>
        <w:t xml:space="preserve">použitím některého ze systémů pro kontrolu a vyhledávání „rizikových“ klientů, které jsou založeny na </w:t>
      </w:r>
      <w:r w:rsidR="00121A62">
        <w:rPr>
          <w:rFonts w:ascii="Arial" w:hAnsi="Arial" w:cs="Arial"/>
        </w:rPr>
        <w:t xml:space="preserve">informacích z </w:t>
      </w:r>
      <w:r w:rsidRPr="000A4C87">
        <w:rPr>
          <w:rFonts w:ascii="Arial" w:hAnsi="Arial" w:cs="Arial"/>
        </w:rPr>
        <w:t>veřejných zdroj</w:t>
      </w:r>
      <w:r w:rsidR="00121A62">
        <w:rPr>
          <w:rFonts w:ascii="Arial" w:hAnsi="Arial" w:cs="Arial"/>
        </w:rPr>
        <w:t>ů</w:t>
      </w:r>
      <w:r w:rsidRPr="000A4C87">
        <w:rPr>
          <w:rFonts w:ascii="Arial" w:hAnsi="Arial" w:cs="Arial"/>
        </w:rPr>
        <w:t xml:space="preserve"> a které jako placenou službu poskytují některé specializované podnikatelské subjekty,</w:t>
      </w:r>
    </w:p>
    <w:p w:rsidR="000A4C87" w:rsidRPr="000A4C87" w:rsidP="005D587F">
      <w:pPr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0A4C87">
        <w:rPr>
          <w:rFonts w:ascii="Arial" w:hAnsi="Arial" w:cs="Arial"/>
        </w:rPr>
        <w:t xml:space="preserve">b) </w:t>
      </w:r>
      <w:r w:rsidR="005D587F">
        <w:rPr>
          <w:rFonts w:ascii="Arial" w:hAnsi="Arial" w:cs="Arial"/>
        </w:rPr>
        <w:tab/>
      </w:r>
      <w:r w:rsidRPr="000A4C87">
        <w:rPr>
          <w:rFonts w:ascii="Arial" w:hAnsi="Arial" w:cs="Arial"/>
        </w:rPr>
        <w:t>vlastním šetřením např. za využití otevřených zdrojů informací apod., nebo</w:t>
      </w:r>
    </w:p>
    <w:p w:rsidR="000A4C87" w:rsidP="005D587F">
      <w:pPr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0A4C87">
        <w:rPr>
          <w:rFonts w:ascii="Arial" w:hAnsi="Arial" w:cs="Arial"/>
        </w:rPr>
        <w:t xml:space="preserve">c) </w:t>
      </w:r>
      <w:r w:rsidR="005D587F">
        <w:rPr>
          <w:rFonts w:ascii="Arial" w:hAnsi="Arial" w:cs="Arial"/>
        </w:rPr>
        <w:tab/>
      </w:r>
      <w:r w:rsidRPr="000A4C87">
        <w:rPr>
          <w:rFonts w:ascii="Arial" w:hAnsi="Arial" w:cs="Arial"/>
        </w:rPr>
        <w:t>prohlášením klienta při identifikaci na počátku obchodu/obchodního vztahu; současně je vhodné klienta zavázat (např. ve všeobecných smluvních podmínkách) i k oznámení případné změny, pokud by nastala v době trvání obchodního vztahu.</w:t>
      </w:r>
    </w:p>
    <w:p w:rsidR="000A4C87" w:rsidRPr="000A4C87" w:rsidP="00FF1D58">
      <w:pPr>
        <w:spacing w:before="120" w:after="0" w:line="240" w:lineRule="auto"/>
        <w:jc w:val="both"/>
        <w:rPr>
          <w:rFonts w:ascii="Arial" w:hAnsi="Arial" w:cs="Arial"/>
        </w:rPr>
      </w:pPr>
      <w:r w:rsidRPr="000A4C87">
        <w:rPr>
          <w:rFonts w:ascii="Arial" w:hAnsi="Arial" w:cs="Arial"/>
        </w:rPr>
        <w:t xml:space="preserve">Opatření, týkající se PEP (viz § 9 a § 15 odst. 2 a 3 </w:t>
      </w:r>
      <w:r w:rsidR="009917A2">
        <w:rPr>
          <w:rFonts w:ascii="Arial" w:hAnsi="Arial" w:cs="Arial"/>
        </w:rPr>
        <w:t xml:space="preserve">AML </w:t>
      </w:r>
      <w:r w:rsidRPr="000A4C87">
        <w:rPr>
          <w:rFonts w:ascii="Arial" w:hAnsi="Arial" w:cs="Arial"/>
        </w:rPr>
        <w:t xml:space="preserve">zákona) se neuplatní u klienta, kterého není povinnost identifikovat. Opatření podle § 13 odst. 4 </w:t>
      </w:r>
      <w:r w:rsidRPr="009917A2" w:rsidR="009917A2">
        <w:rPr>
          <w:rFonts w:ascii="Arial" w:hAnsi="Arial" w:cs="Arial"/>
        </w:rPr>
        <w:t xml:space="preserve">AML zákona </w:t>
      </w:r>
      <w:r w:rsidRPr="000A4C87">
        <w:rPr>
          <w:rFonts w:ascii="Arial" w:hAnsi="Arial" w:cs="Arial"/>
        </w:rPr>
        <w:t>se uplatní tehdy, pokud již je povinné osobě na základě jiné skutečnosti známo, že klient je PEP.</w:t>
      </w:r>
    </w:p>
    <w:p w:rsidR="008616D9" w:rsidP="00FF1D58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vztahu k osobám, identifikovaným jako PEP, </w:t>
      </w:r>
      <w:r w:rsidR="002D6348">
        <w:rPr>
          <w:rFonts w:ascii="Arial" w:hAnsi="Arial" w:cs="Arial"/>
        </w:rPr>
        <w:t>ukládá</w:t>
      </w:r>
      <w:r>
        <w:rPr>
          <w:rFonts w:ascii="Arial" w:hAnsi="Arial" w:cs="Arial"/>
        </w:rPr>
        <w:t xml:space="preserve"> AML zákon povinným osobám aplikovat řadu speciálních opatření. </w:t>
      </w:r>
      <w:r w:rsidR="00E8258F">
        <w:rPr>
          <w:rFonts w:ascii="Arial" w:hAnsi="Arial" w:cs="Arial"/>
        </w:rPr>
        <w:t>Zejména</w:t>
      </w:r>
      <w:r>
        <w:rPr>
          <w:rFonts w:ascii="Arial" w:hAnsi="Arial" w:cs="Arial"/>
        </w:rPr>
        <w:t xml:space="preserve"> jde o povinnost provést </w:t>
      </w:r>
      <w:r w:rsidR="008A4280">
        <w:rPr>
          <w:rFonts w:ascii="Arial" w:hAnsi="Arial" w:cs="Arial"/>
        </w:rPr>
        <w:t>vždy kontrolu klienta, pokud j</w:t>
      </w:r>
      <w:r w:rsidR="00CF28B0">
        <w:rPr>
          <w:rFonts w:ascii="Arial" w:hAnsi="Arial" w:cs="Arial"/>
        </w:rPr>
        <w:t>e</w:t>
      </w:r>
      <w:r w:rsidR="008A4280">
        <w:rPr>
          <w:rFonts w:ascii="Arial" w:hAnsi="Arial" w:cs="Arial"/>
        </w:rPr>
        <w:t xml:space="preserve"> tato osoba účastníkem obchodu </w:t>
      </w:r>
      <w:r>
        <w:rPr>
          <w:rFonts w:ascii="Arial" w:hAnsi="Arial" w:cs="Arial"/>
        </w:rPr>
        <w:t>mimo obchodní vztah a to bez ohledu na výši částky (§ 9). Vůči klientovi PEP dále nelze použít zjednodušenou identifikaci a kontrolu klienta (§</w:t>
      </w:r>
      <w:r w:rsidR="00E8258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13). Pokud není povinné osobě znám původ majetku PEP použitého v obchodě, </w:t>
      </w:r>
      <w:r w:rsidR="00C86828">
        <w:rPr>
          <w:rFonts w:ascii="Arial" w:hAnsi="Arial" w:cs="Arial"/>
        </w:rPr>
        <w:t xml:space="preserve">nebo má o jeho deklarovaném původu pochybnosti, </w:t>
      </w:r>
      <w:r>
        <w:rPr>
          <w:rFonts w:ascii="Arial" w:hAnsi="Arial" w:cs="Arial"/>
        </w:rPr>
        <w:t xml:space="preserve">daný obchod neuskuteční (§ 15). </w:t>
      </w:r>
      <w:r w:rsidR="00E8258F">
        <w:rPr>
          <w:rFonts w:ascii="Arial" w:hAnsi="Arial" w:cs="Arial"/>
        </w:rPr>
        <w:t>K</w:t>
      </w:r>
      <w:r w:rsidR="008A4280">
        <w:rPr>
          <w:rFonts w:ascii="Arial" w:hAnsi="Arial" w:cs="Arial"/>
        </w:rPr>
        <w:t xml:space="preserve"> uzavření obchodního </w:t>
      </w:r>
      <w:r>
        <w:rPr>
          <w:rFonts w:ascii="Arial" w:hAnsi="Arial" w:cs="Arial"/>
        </w:rPr>
        <w:t xml:space="preserve">vztahu s klientem PEP je nutný souhlas </w:t>
      </w:r>
      <w:r w:rsidRPr="0044507F">
        <w:rPr>
          <w:rFonts w:ascii="Arial" w:hAnsi="Arial" w:cs="Arial"/>
        </w:rPr>
        <w:t>statutárního orgánu povinné osoby nebo jím pověřené osoby k řízení v oblasti opatření proti legalizaci výnosů z trestné činnosti a financování terorismu</w:t>
      </w:r>
      <w:r>
        <w:rPr>
          <w:rFonts w:ascii="Arial" w:hAnsi="Arial" w:cs="Arial"/>
        </w:rPr>
        <w:t xml:space="preserve">. </w:t>
      </w:r>
    </w:p>
    <w:p w:rsidR="00F06F7D" w:rsidP="00FF1D58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616D9">
        <w:rPr>
          <w:rFonts w:ascii="Arial" w:hAnsi="Arial" w:cs="Arial"/>
        </w:rPr>
        <w:t xml:space="preserve">přísněná opatření se vůči PEP uplatňují nejen po dobu, kdy funkci zakládající status PEP vykonávají, ale i po jejím ukončení. Tato doba musí být v souladu s § 54 odst. 8 AML zákona tak dlouhá, jak dlouho u té </w:t>
      </w:r>
      <w:r w:rsidR="008A4280">
        <w:rPr>
          <w:rFonts w:ascii="Arial" w:hAnsi="Arial" w:cs="Arial"/>
        </w:rPr>
        <w:t xml:space="preserve">dané </w:t>
      </w:r>
      <w:r w:rsidR="008616D9">
        <w:rPr>
          <w:rFonts w:ascii="Arial" w:hAnsi="Arial" w:cs="Arial"/>
        </w:rPr>
        <w:t xml:space="preserve">osoby </w:t>
      </w:r>
      <w:r>
        <w:rPr>
          <w:rFonts w:ascii="Arial" w:hAnsi="Arial" w:cs="Arial"/>
        </w:rPr>
        <w:t xml:space="preserve">trvá </w:t>
      </w:r>
      <w:r w:rsidR="008616D9">
        <w:rPr>
          <w:rFonts w:ascii="Arial" w:hAnsi="Arial" w:cs="Arial"/>
        </w:rPr>
        <w:t>specifické riziko</w:t>
      </w:r>
      <w:r>
        <w:rPr>
          <w:rFonts w:ascii="Arial" w:hAnsi="Arial" w:cs="Arial"/>
        </w:rPr>
        <w:t xml:space="preserve"> vplývající z jejího postavení</w:t>
      </w:r>
      <w:r w:rsidR="008616D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minimálně však </w:t>
      </w:r>
      <w:r w:rsidR="00D13B4F">
        <w:rPr>
          <w:rFonts w:ascii="Arial" w:hAnsi="Arial" w:cs="Arial"/>
        </w:rPr>
        <w:t xml:space="preserve">po dobu </w:t>
      </w:r>
      <w:r>
        <w:rPr>
          <w:rFonts w:ascii="Arial" w:hAnsi="Arial" w:cs="Arial"/>
        </w:rPr>
        <w:t xml:space="preserve">12 měsíců. </w:t>
      </w:r>
      <w:r w:rsidR="00425CB8">
        <w:rPr>
          <w:rFonts w:ascii="Arial" w:hAnsi="Arial" w:cs="Arial"/>
        </w:rPr>
        <w:t>Stejné podmínk</w:t>
      </w:r>
      <w:r w:rsidR="00121A62">
        <w:rPr>
          <w:rFonts w:ascii="Arial" w:hAnsi="Arial" w:cs="Arial"/>
        </w:rPr>
        <w:t>y</w:t>
      </w:r>
      <w:r w:rsidR="00425CB8">
        <w:rPr>
          <w:rFonts w:ascii="Arial" w:hAnsi="Arial" w:cs="Arial"/>
        </w:rPr>
        <w:t xml:space="preserve"> se uplatní i vůči „odvozeným“ PEP.</w:t>
      </w:r>
    </w:p>
    <w:p w:rsidR="00A4611C" w:rsidP="00FF1D58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Podle § 54 odst. 8 AML zákona </w:t>
      </w:r>
      <w:r w:rsidRPr="00A4611C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shora uvede</w:t>
      </w:r>
      <w:r w:rsidR="00B04C81">
        <w:rPr>
          <w:rFonts w:ascii="Arial" w:hAnsi="Arial" w:cs="Arial"/>
        </w:rPr>
        <w:t>ná opatření</w:t>
      </w:r>
      <w:r w:rsidRPr="00A4611C">
        <w:rPr>
          <w:rFonts w:ascii="Arial" w:hAnsi="Arial" w:cs="Arial"/>
        </w:rPr>
        <w:t xml:space="preserve"> uplatní také vůči klientovi, jehož skutečným majitelem je </w:t>
      </w:r>
      <w:r w:rsidR="002A5455">
        <w:rPr>
          <w:rFonts w:ascii="Arial" w:hAnsi="Arial" w:cs="Arial"/>
        </w:rPr>
        <w:t>PEP</w:t>
      </w:r>
      <w:r w:rsidRPr="00A4611C">
        <w:rPr>
          <w:rFonts w:ascii="Arial" w:hAnsi="Arial" w:cs="Arial"/>
        </w:rPr>
        <w:t xml:space="preserve">, a vůči osobě, o níž je povinné osobě známo, že jedná ve prospěch </w:t>
      </w:r>
      <w:r w:rsidR="002A5455">
        <w:rPr>
          <w:rFonts w:ascii="Arial" w:hAnsi="Arial" w:cs="Arial"/>
        </w:rPr>
        <w:t>PEP</w:t>
      </w:r>
      <w:r w:rsidR="00B04C81">
        <w:rPr>
          <w:rFonts w:ascii="Arial" w:hAnsi="Arial" w:cs="Arial"/>
        </w:rPr>
        <w:t xml:space="preserve">. To však neznamená, že by se </w:t>
      </w:r>
      <w:r w:rsidR="001438D4">
        <w:rPr>
          <w:rFonts w:ascii="Arial" w:hAnsi="Arial" w:cs="Arial"/>
        </w:rPr>
        <w:t xml:space="preserve">tato opatření </w:t>
      </w:r>
      <w:r w:rsidR="00AA1390">
        <w:rPr>
          <w:rFonts w:ascii="Arial" w:hAnsi="Arial" w:cs="Arial"/>
        </w:rPr>
        <w:t xml:space="preserve">automaticky </w:t>
      </w:r>
      <w:r w:rsidR="001438D4">
        <w:rPr>
          <w:rFonts w:ascii="Arial" w:hAnsi="Arial" w:cs="Arial"/>
        </w:rPr>
        <w:t xml:space="preserve">aplikovala například </w:t>
      </w:r>
      <w:r w:rsidR="00AA1390">
        <w:rPr>
          <w:rFonts w:ascii="Arial" w:hAnsi="Arial" w:cs="Arial"/>
        </w:rPr>
        <w:t xml:space="preserve">i </w:t>
      </w:r>
      <w:r w:rsidR="001438D4">
        <w:rPr>
          <w:rFonts w:ascii="Arial" w:hAnsi="Arial" w:cs="Arial"/>
        </w:rPr>
        <w:t xml:space="preserve">na subjekty zřizované státními institucemi či regionálními samosprávami jen proto, že v jejich řídících orgánech z titulu zřizovatele </w:t>
      </w:r>
      <w:r w:rsidR="002A5455">
        <w:rPr>
          <w:rFonts w:ascii="Arial" w:hAnsi="Arial" w:cs="Arial"/>
        </w:rPr>
        <w:t>figuruje</w:t>
      </w:r>
      <w:r w:rsidR="001438D4">
        <w:rPr>
          <w:rFonts w:ascii="Arial" w:hAnsi="Arial" w:cs="Arial"/>
        </w:rPr>
        <w:t xml:space="preserve"> PEP.</w:t>
      </w:r>
    </w:p>
    <w:p w:rsidR="00F06F7D" w:rsidP="00FF1D58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Podle</w:t>
      </w:r>
      <w:r w:rsidR="00086F1B">
        <w:rPr>
          <w:rFonts w:ascii="Arial" w:hAnsi="Arial" w:cs="Arial"/>
        </w:rPr>
        <w:t> aktuální</w:t>
      </w:r>
      <w:r>
        <w:rPr>
          <w:rFonts w:ascii="Arial" w:hAnsi="Arial" w:cs="Arial"/>
        </w:rPr>
        <w:t>ho</w:t>
      </w:r>
      <w:r w:rsidR="00086F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znění</w:t>
      </w:r>
      <w:r w:rsidR="00086F1B">
        <w:rPr>
          <w:rFonts w:ascii="Arial" w:hAnsi="Arial" w:cs="Arial"/>
        </w:rPr>
        <w:t xml:space="preserve"> doporučení</w:t>
      </w:r>
      <w:r w:rsidR="0088302F">
        <w:rPr>
          <w:rFonts w:ascii="Arial" w:hAnsi="Arial" w:cs="Arial"/>
        </w:rPr>
        <w:t xml:space="preserve"> FATF č. 12 </w:t>
      </w:r>
      <w:r>
        <w:rPr>
          <w:rFonts w:ascii="Arial" w:hAnsi="Arial" w:cs="Arial"/>
        </w:rPr>
        <w:t xml:space="preserve">se </w:t>
      </w:r>
      <w:r w:rsidR="00D51ED3">
        <w:rPr>
          <w:rFonts w:ascii="Arial" w:hAnsi="Arial" w:cs="Arial"/>
        </w:rPr>
        <w:t>zesílená</w:t>
      </w:r>
      <w:r>
        <w:rPr>
          <w:rFonts w:ascii="Arial" w:hAnsi="Arial" w:cs="Arial"/>
        </w:rPr>
        <w:t xml:space="preserve"> opatření </w:t>
      </w:r>
      <w:r w:rsidR="005A6727">
        <w:rPr>
          <w:rFonts w:ascii="Arial" w:hAnsi="Arial" w:cs="Arial"/>
        </w:rPr>
        <w:t xml:space="preserve">uplatní </w:t>
      </w:r>
      <w:r w:rsidR="00D51ED3">
        <w:rPr>
          <w:rFonts w:ascii="Arial" w:hAnsi="Arial" w:cs="Arial"/>
        </w:rPr>
        <w:t xml:space="preserve">vůči </w:t>
      </w:r>
      <w:r w:rsidR="00977AA8">
        <w:rPr>
          <w:rFonts w:ascii="Arial" w:hAnsi="Arial" w:cs="Arial"/>
        </w:rPr>
        <w:t>klientovi</w:t>
      </w:r>
      <w:r w:rsidR="00C86828">
        <w:rPr>
          <w:rFonts w:ascii="Arial" w:hAnsi="Arial" w:cs="Arial"/>
        </w:rPr>
        <w:t xml:space="preserve"> (nebo v případě právnického osoby jeho skutečnému majiteli)</w:t>
      </w:r>
      <w:r w:rsidR="00977AA8">
        <w:rPr>
          <w:rFonts w:ascii="Arial" w:hAnsi="Arial" w:cs="Arial"/>
        </w:rPr>
        <w:t>, který je</w:t>
      </w:r>
      <w:r w:rsidR="00C3372A">
        <w:rPr>
          <w:rFonts w:ascii="Arial" w:hAnsi="Arial" w:cs="Arial"/>
        </w:rPr>
        <w:t xml:space="preserve"> </w:t>
      </w:r>
      <w:r w:rsidR="00F13D5D">
        <w:rPr>
          <w:rFonts w:ascii="Arial" w:hAnsi="Arial" w:cs="Arial"/>
        </w:rPr>
        <w:t xml:space="preserve">zahraniční </w:t>
      </w:r>
      <w:r w:rsidR="00C3372A">
        <w:rPr>
          <w:rFonts w:ascii="Arial" w:hAnsi="Arial" w:cs="Arial"/>
        </w:rPr>
        <w:t xml:space="preserve">PEP. </w:t>
      </w:r>
      <w:r w:rsidR="00D13B4F">
        <w:rPr>
          <w:rFonts w:ascii="Arial" w:hAnsi="Arial" w:cs="Arial"/>
        </w:rPr>
        <w:t xml:space="preserve">Ve vztahu k domácím PEP </w:t>
      </w:r>
      <w:r w:rsidR="00CA3EAF">
        <w:rPr>
          <w:rFonts w:ascii="Arial" w:hAnsi="Arial" w:cs="Arial"/>
        </w:rPr>
        <w:t xml:space="preserve">a osobám, kterým byla významná funkce svěřena v mezinárodní organizaci, </w:t>
      </w:r>
      <w:r w:rsidR="000C2D7D">
        <w:rPr>
          <w:rFonts w:ascii="Arial" w:hAnsi="Arial" w:cs="Arial"/>
        </w:rPr>
        <w:t xml:space="preserve">je vyžadováno, aby </w:t>
      </w:r>
      <w:r w:rsidR="00D13B4F">
        <w:rPr>
          <w:rFonts w:ascii="Arial" w:hAnsi="Arial" w:cs="Arial"/>
        </w:rPr>
        <w:t xml:space="preserve">povinná osoba </w:t>
      </w:r>
      <w:r w:rsidR="000C2D7D">
        <w:rPr>
          <w:rFonts w:ascii="Arial" w:hAnsi="Arial" w:cs="Arial"/>
        </w:rPr>
        <w:t xml:space="preserve">uplatnila </w:t>
      </w:r>
      <w:r w:rsidR="00D13B4F">
        <w:rPr>
          <w:rFonts w:ascii="Arial" w:hAnsi="Arial" w:cs="Arial"/>
        </w:rPr>
        <w:t xml:space="preserve">specifická opatření pouze v těch případech, kdy je </w:t>
      </w:r>
      <w:r w:rsidR="00C84003">
        <w:rPr>
          <w:rFonts w:ascii="Arial" w:hAnsi="Arial" w:cs="Arial"/>
        </w:rPr>
        <w:t xml:space="preserve">s takovými osobami navázán </w:t>
      </w:r>
      <w:r w:rsidR="0061591C">
        <w:rPr>
          <w:rFonts w:ascii="Arial" w:hAnsi="Arial" w:cs="Arial"/>
        </w:rPr>
        <w:t xml:space="preserve">rizikový </w:t>
      </w:r>
      <w:r w:rsidR="00C84003">
        <w:rPr>
          <w:rFonts w:ascii="Arial" w:hAnsi="Arial" w:cs="Arial"/>
        </w:rPr>
        <w:t>obchodní vztah</w:t>
      </w:r>
      <w:r>
        <w:rPr>
          <w:rStyle w:val="FootnoteReference"/>
          <w:rFonts w:ascii="Arial" w:hAnsi="Arial" w:cs="Arial"/>
        </w:rPr>
        <w:footnoteReference w:id="3"/>
      </w:r>
      <w:r w:rsidR="00D13B4F">
        <w:rPr>
          <w:rFonts w:ascii="Arial" w:hAnsi="Arial" w:cs="Arial"/>
        </w:rPr>
        <w:t xml:space="preserve">. </w:t>
      </w:r>
      <w:r w:rsidR="00407B46">
        <w:rPr>
          <w:rFonts w:ascii="Arial" w:hAnsi="Arial" w:cs="Arial"/>
        </w:rPr>
        <w:t>Dokud taková situace nenastane</w:t>
      </w:r>
      <w:r w:rsidR="0044507F">
        <w:rPr>
          <w:rFonts w:ascii="Arial" w:hAnsi="Arial" w:cs="Arial"/>
        </w:rPr>
        <w:t>, povinná osoba pouze zaznamená, že je daná osoba PEP</w:t>
      </w:r>
      <w:r w:rsidR="008A4280">
        <w:rPr>
          <w:rFonts w:ascii="Arial" w:hAnsi="Arial" w:cs="Arial"/>
        </w:rPr>
        <w:t>,</w:t>
      </w:r>
      <w:r w:rsidR="0044507F">
        <w:rPr>
          <w:rFonts w:ascii="Arial" w:hAnsi="Arial" w:cs="Arial"/>
        </w:rPr>
        <w:t xml:space="preserve"> ale žádná další zvláštní opatření vůči ní uplatň</w:t>
      </w:r>
      <w:r w:rsidR="00FA4184">
        <w:rPr>
          <w:rFonts w:ascii="Arial" w:hAnsi="Arial" w:cs="Arial"/>
        </w:rPr>
        <w:t>ovat nemusí</w:t>
      </w:r>
      <w:r w:rsidR="0044507F">
        <w:rPr>
          <w:rFonts w:ascii="Arial" w:hAnsi="Arial" w:cs="Arial"/>
        </w:rPr>
        <w:t xml:space="preserve">. </w:t>
      </w:r>
      <w:r w:rsidR="00407B46">
        <w:rPr>
          <w:rFonts w:ascii="Arial" w:hAnsi="Arial" w:cs="Arial"/>
        </w:rPr>
        <w:t xml:space="preserve"> Aktuálně projednávaný </w:t>
      </w:r>
      <w:r w:rsidR="00D13B4F">
        <w:rPr>
          <w:rFonts w:ascii="Arial" w:hAnsi="Arial" w:cs="Arial"/>
        </w:rPr>
        <w:t>návrh 5.</w:t>
      </w:r>
      <w:r w:rsidR="00C86828">
        <w:rPr>
          <w:rFonts w:ascii="Arial" w:hAnsi="Arial" w:cs="Arial"/>
        </w:rPr>
        <w:t> </w:t>
      </w:r>
      <w:r w:rsidR="00D13B4F">
        <w:rPr>
          <w:rFonts w:ascii="Arial" w:hAnsi="Arial" w:cs="Arial"/>
        </w:rPr>
        <w:t xml:space="preserve">AML </w:t>
      </w:r>
      <w:r w:rsidR="0053483E">
        <w:rPr>
          <w:rFonts w:ascii="Arial" w:hAnsi="Arial" w:cs="Arial"/>
        </w:rPr>
        <w:t>s</w:t>
      </w:r>
      <w:r w:rsidR="00D13B4F">
        <w:rPr>
          <w:rFonts w:ascii="Arial" w:hAnsi="Arial" w:cs="Arial"/>
        </w:rPr>
        <w:t>měrnice</w:t>
      </w:r>
      <w:r w:rsidR="0053483E">
        <w:rPr>
          <w:rFonts w:ascii="Arial" w:hAnsi="Arial" w:cs="Arial"/>
        </w:rPr>
        <w:t xml:space="preserve"> EU</w:t>
      </w:r>
      <w:r w:rsidR="00D13B4F">
        <w:rPr>
          <w:rFonts w:ascii="Arial" w:hAnsi="Arial" w:cs="Arial"/>
        </w:rPr>
        <w:t xml:space="preserve">, ve znění návrhu Rady </w:t>
      </w:r>
      <w:r w:rsidR="0044507F">
        <w:rPr>
          <w:rFonts w:ascii="Arial" w:hAnsi="Arial" w:cs="Arial"/>
        </w:rPr>
        <w:t>schváleného</w:t>
      </w:r>
      <w:r w:rsidR="00D13B4F">
        <w:rPr>
          <w:rFonts w:ascii="Arial" w:hAnsi="Arial" w:cs="Arial"/>
        </w:rPr>
        <w:t xml:space="preserve"> Výborem stálých zástupců (Coreper) dne 20. 12. 2016</w:t>
      </w:r>
      <w:r>
        <w:rPr>
          <w:rStyle w:val="FootnoteReference"/>
          <w:rFonts w:ascii="Arial" w:hAnsi="Arial" w:cs="Arial"/>
        </w:rPr>
        <w:footnoteReference w:id="4"/>
      </w:r>
      <w:r w:rsidR="0053483E">
        <w:rPr>
          <w:rFonts w:ascii="Arial" w:hAnsi="Arial" w:cs="Arial"/>
        </w:rPr>
        <w:t xml:space="preserve"> navrhuje upravit te</w:t>
      </w:r>
      <w:r w:rsidR="007E0625">
        <w:rPr>
          <w:rFonts w:ascii="Arial" w:hAnsi="Arial" w:cs="Arial"/>
        </w:rPr>
        <w:t xml:space="preserve">xt 4. AML směrnice </w:t>
      </w:r>
      <w:r w:rsidR="0053483E">
        <w:rPr>
          <w:rFonts w:ascii="Arial" w:hAnsi="Arial" w:cs="Arial"/>
        </w:rPr>
        <w:t>EU</w:t>
      </w:r>
      <w:r>
        <w:rPr>
          <w:rStyle w:val="FootnoteReference"/>
          <w:rFonts w:ascii="Arial" w:hAnsi="Arial" w:cs="Arial"/>
        </w:rPr>
        <w:footnoteReference w:id="5"/>
      </w:r>
      <w:r w:rsidR="001456BD">
        <w:rPr>
          <w:rFonts w:ascii="Arial" w:hAnsi="Arial" w:cs="Arial"/>
        </w:rPr>
        <w:t xml:space="preserve"> tak, aby </w:t>
      </w:r>
      <w:r w:rsidR="00131BF8">
        <w:rPr>
          <w:rFonts w:ascii="Arial" w:hAnsi="Arial" w:cs="Arial"/>
        </w:rPr>
        <w:t>(</w:t>
      </w:r>
      <w:r w:rsidR="001456BD">
        <w:rPr>
          <w:rFonts w:ascii="Arial" w:hAnsi="Arial" w:cs="Arial"/>
        </w:rPr>
        <w:t xml:space="preserve">i) </w:t>
      </w:r>
      <w:r w:rsidR="0081030A">
        <w:rPr>
          <w:rFonts w:ascii="Arial" w:hAnsi="Arial" w:cs="Arial"/>
        </w:rPr>
        <w:t xml:space="preserve">za domácí </w:t>
      </w:r>
      <w:r w:rsidR="004E0D3D">
        <w:rPr>
          <w:rFonts w:ascii="Arial" w:hAnsi="Arial" w:cs="Arial"/>
        </w:rPr>
        <w:t>PEP</w:t>
      </w:r>
      <w:r w:rsidR="0081030A">
        <w:rPr>
          <w:rFonts w:ascii="Arial" w:hAnsi="Arial" w:cs="Arial"/>
        </w:rPr>
        <w:t xml:space="preserve"> byl </w:t>
      </w:r>
      <w:r w:rsidR="0081030A">
        <w:rPr>
          <w:rFonts w:ascii="Arial" w:hAnsi="Arial" w:cs="Arial"/>
        </w:rPr>
        <w:t>považován ten, kdo zastává či zastával významnou veřejnou funkci v</w:t>
      </w:r>
      <w:r w:rsidR="000143CE">
        <w:rPr>
          <w:rFonts w:ascii="Arial" w:hAnsi="Arial" w:cs="Arial"/>
        </w:rPr>
        <w:t xml:space="preserve"> kterémkoli členském státě </w:t>
      </w:r>
      <w:r w:rsidR="00A01D0C">
        <w:rPr>
          <w:rFonts w:ascii="Arial" w:hAnsi="Arial" w:cs="Arial"/>
        </w:rPr>
        <w:t xml:space="preserve">EU </w:t>
      </w:r>
      <w:r w:rsidR="000143CE">
        <w:rPr>
          <w:rFonts w:ascii="Arial" w:hAnsi="Arial" w:cs="Arial"/>
        </w:rPr>
        <w:t xml:space="preserve">nebo v instituci EU; </w:t>
      </w:r>
      <w:r w:rsidR="00131BF8">
        <w:rPr>
          <w:rFonts w:ascii="Arial" w:hAnsi="Arial" w:cs="Arial"/>
        </w:rPr>
        <w:t>(</w:t>
      </w:r>
      <w:r w:rsidR="000143CE">
        <w:rPr>
          <w:rFonts w:ascii="Arial" w:hAnsi="Arial" w:cs="Arial"/>
        </w:rPr>
        <w:t>ii)</w:t>
      </w:r>
      <w:r w:rsidR="0081030A">
        <w:rPr>
          <w:rFonts w:ascii="Arial" w:hAnsi="Arial" w:cs="Arial"/>
        </w:rPr>
        <w:t xml:space="preserve"> </w:t>
      </w:r>
      <w:r w:rsidR="000143CE">
        <w:rPr>
          <w:rFonts w:ascii="Arial" w:hAnsi="Arial" w:cs="Arial"/>
        </w:rPr>
        <w:t>příslušná opatření se uplatňovala až od momentu</w:t>
      </w:r>
      <w:r w:rsidR="008C40BE">
        <w:rPr>
          <w:rFonts w:ascii="Arial" w:hAnsi="Arial" w:cs="Arial"/>
        </w:rPr>
        <w:t xml:space="preserve">, kdy je </w:t>
      </w:r>
      <w:r w:rsidR="00121A62">
        <w:rPr>
          <w:rFonts w:ascii="Arial" w:hAnsi="Arial" w:cs="Arial"/>
        </w:rPr>
        <w:br/>
      </w:r>
      <w:r w:rsidR="008C40BE">
        <w:rPr>
          <w:rFonts w:ascii="Arial" w:hAnsi="Arial" w:cs="Arial"/>
        </w:rPr>
        <w:t>u takové osoby identifikováno zvýšené riziko</w:t>
      </w:r>
      <w:r w:rsidR="00D13B4F">
        <w:rPr>
          <w:rFonts w:ascii="Arial" w:hAnsi="Arial" w:cs="Arial"/>
        </w:rPr>
        <w:t xml:space="preserve">. </w:t>
      </w:r>
    </w:p>
    <w:p w:rsidR="00DC5983" w:rsidP="00FF1D58">
      <w:pPr>
        <w:spacing w:before="120" w:after="0" w:line="240" w:lineRule="auto"/>
        <w:jc w:val="both"/>
        <w:rPr>
          <w:rFonts w:ascii="Arial" w:hAnsi="Arial" w:cs="Arial"/>
          <w:b/>
        </w:rPr>
      </w:pPr>
      <w:r w:rsidRPr="00FE3101">
        <w:rPr>
          <w:rFonts w:ascii="Arial" w:hAnsi="Arial" w:cs="Arial"/>
          <w:b/>
        </w:rPr>
        <w:t xml:space="preserve">S ohledem na tyto skutečnosti </w:t>
      </w:r>
      <w:r w:rsidRPr="00FE3101" w:rsidR="0072023C">
        <w:rPr>
          <w:rFonts w:ascii="Arial" w:hAnsi="Arial" w:cs="Arial"/>
          <w:b/>
        </w:rPr>
        <w:t>po dobu projednávání návrhu 5</w:t>
      </w:r>
      <w:r w:rsidR="00C86828">
        <w:rPr>
          <w:rFonts w:ascii="Arial" w:hAnsi="Arial" w:cs="Arial"/>
          <w:b/>
        </w:rPr>
        <w:t>.</w:t>
      </w:r>
      <w:r w:rsidRPr="00FE3101" w:rsidR="0072023C">
        <w:rPr>
          <w:rFonts w:ascii="Arial" w:hAnsi="Arial" w:cs="Arial"/>
          <w:b/>
        </w:rPr>
        <w:t xml:space="preserve"> AML směrnice EU</w:t>
      </w:r>
      <w:r w:rsidR="00A53913">
        <w:rPr>
          <w:rFonts w:ascii="Arial" w:hAnsi="Arial" w:cs="Arial"/>
          <w:b/>
        </w:rPr>
        <w:t>,</w:t>
      </w:r>
      <w:r w:rsidRPr="00FE3101" w:rsidR="0072023C">
        <w:rPr>
          <w:rFonts w:ascii="Arial" w:hAnsi="Arial" w:cs="Arial"/>
          <w:b/>
        </w:rPr>
        <w:t xml:space="preserve"> a případně až do doby provedení její transpozice do práva </w:t>
      </w:r>
      <w:r w:rsidRPr="00FE3101" w:rsidR="00F41216">
        <w:rPr>
          <w:rFonts w:ascii="Arial" w:hAnsi="Arial" w:cs="Arial"/>
          <w:b/>
        </w:rPr>
        <w:t>ČR</w:t>
      </w:r>
      <w:r w:rsidR="00A53913">
        <w:rPr>
          <w:rFonts w:ascii="Arial" w:hAnsi="Arial" w:cs="Arial"/>
          <w:b/>
        </w:rPr>
        <w:t>,</w:t>
      </w:r>
      <w:r w:rsidRPr="00FE3101" w:rsidR="00F41216">
        <w:rPr>
          <w:rFonts w:ascii="Arial" w:hAnsi="Arial" w:cs="Arial"/>
          <w:b/>
        </w:rPr>
        <w:t xml:space="preserve"> </w:t>
      </w:r>
      <w:r w:rsidRPr="00FE3101" w:rsidR="00A53913">
        <w:rPr>
          <w:rFonts w:ascii="Arial" w:hAnsi="Arial" w:cs="Arial"/>
          <w:b/>
        </w:rPr>
        <w:t xml:space="preserve">bude </w:t>
      </w:r>
      <w:r w:rsidRPr="006F7B6F" w:rsidR="006F7B6F">
        <w:rPr>
          <w:rFonts w:ascii="Arial" w:hAnsi="Arial" w:cs="Arial"/>
          <w:b/>
        </w:rPr>
        <w:t>FAÚ</w:t>
      </w:r>
      <w:r w:rsidRPr="006F7B6F" w:rsidR="006F7B6F">
        <w:rPr>
          <w:rFonts w:ascii="Arial" w:hAnsi="Arial" w:cs="Arial"/>
          <w:b/>
        </w:rPr>
        <w:t xml:space="preserve"> </w:t>
      </w:r>
      <w:r w:rsidRPr="00FE3101" w:rsidR="004E0D3D">
        <w:rPr>
          <w:rFonts w:ascii="Arial" w:hAnsi="Arial" w:cs="Arial"/>
          <w:b/>
        </w:rPr>
        <w:t>od</w:t>
      </w:r>
      <w:r w:rsidRPr="00FE3101" w:rsidR="001D48FD">
        <w:rPr>
          <w:rFonts w:ascii="Arial" w:hAnsi="Arial" w:cs="Arial"/>
          <w:b/>
        </w:rPr>
        <w:t xml:space="preserve"> povinných osob vyžadovat pouze</w:t>
      </w:r>
      <w:r w:rsidRPr="00FE3101" w:rsidR="004E0D3D">
        <w:rPr>
          <w:rFonts w:ascii="Arial" w:hAnsi="Arial" w:cs="Arial"/>
          <w:b/>
        </w:rPr>
        <w:t xml:space="preserve"> identifik</w:t>
      </w:r>
      <w:r w:rsidR="009660CA">
        <w:rPr>
          <w:rFonts w:ascii="Arial" w:hAnsi="Arial" w:cs="Arial"/>
          <w:b/>
        </w:rPr>
        <w:t>aci</w:t>
      </w:r>
      <w:r w:rsidRPr="00FE3101" w:rsidR="004E0D3D">
        <w:rPr>
          <w:rFonts w:ascii="Arial" w:hAnsi="Arial" w:cs="Arial"/>
          <w:b/>
        </w:rPr>
        <w:t xml:space="preserve"> domácí</w:t>
      </w:r>
      <w:r w:rsidR="009660CA">
        <w:rPr>
          <w:rFonts w:ascii="Arial" w:hAnsi="Arial" w:cs="Arial"/>
          <w:b/>
        </w:rPr>
        <w:t>ch</w:t>
      </w:r>
      <w:r w:rsidRPr="00FE3101" w:rsidR="004E0D3D">
        <w:rPr>
          <w:rFonts w:ascii="Arial" w:hAnsi="Arial" w:cs="Arial"/>
          <w:b/>
        </w:rPr>
        <w:t xml:space="preserve"> PEP</w:t>
      </w:r>
      <w:r w:rsidRPr="00FE3101" w:rsidR="007F5873">
        <w:rPr>
          <w:rFonts w:ascii="Arial" w:hAnsi="Arial" w:cs="Arial"/>
          <w:b/>
        </w:rPr>
        <w:t xml:space="preserve"> (ve smyslu návrhu 5.</w:t>
      </w:r>
      <w:r w:rsidR="00A53913">
        <w:rPr>
          <w:rFonts w:ascii="Arial" w:hAnsi="Arial" w:cs="Arial"/>
          <w:b/>
        </w:rPr>
        <w:t> </w:t>
      </w:r>
      <w:r w:rsidRPr="00FE3101" w:rsidR="007F5873">
        <w:rPr>
          <w:rFonts w:ascii="Arial" w:hAnsi="Arial" w:cs="Arial"/>
          <w:b/>
        </w:rPr>
        <w:t>AML směrnice EU)</w:t>
      </w:r>
      <w:r w:rsidRPr="00FE3101" w:rsidR="004E0D3D">
        <w:rPr>
          <w:rFonts w:ascii="Arial" w:hAnsi="Arial" w:cs="Arial"/>
          <w:b/>
        </w:rPr>
        <w:t xml:space="preserve"> </w:t>
      </w:r>
      <w:r w:rsidRPr="00FE3101" w:rsidR="001D48FD">
        <w:rPr>
          <w:rFonts w:ascii="Arial" w:hAnsi="Arial" w:cs="Arial"/>
          <w:b/>
        </w:rPr>
        <w:t xml:space="preserve">s tím, že </w:t>
      </w:r>
      <w:r w:rsidRPr="00FE3101" w:rsidR="007F5873">
        <w:rPr>
          <w:rFonts w:ascii="Arial" w:hAnsi="Arial" w:cs="Arial"/>
          <w:b/>
        </w:rPr>
        <w:t xml:space="preserve">dodatečná opatření </w:t>
      </w:r>
      <w:r w:rsidRPr="00FE3101" w:rsidR="0057483C">
        <w:rPr>
          <w:rFonts w:ascii="Arial" w:hAnsi="Arial" w:cs="Arial"/>
          <w:b/>
        </w:rPr>
        <w:t xml:space="preserve">podle § 9, 13 a § 15 AML zákona </w:t>
      </w:r>
      <w:r w:rsidRPr="00FE3101" w:rsidR="007F5873">
        <w:rPr>
          <w:rFonts w:ascii="Arial" w:hAnsi="Arial" w:cs="Arial"/>
          <w:b/>
        </w:rPr>
        <w:t>vůči nim uplat</w:t>
      </w:r>
      <w:r w:rsidRPr="00FE3101" w:rsidR="00F41216">
        <w:rPr>
          <w:rFonts w:ascii="Arial" w:hAnsi="Arial" w:cs="Arial"/>
          <w:b/>
        </w:rPr>
        <w:t>ní povinná osoba</w:t>
      </w:r>
      <w:r w:rsidRPr="00FE3101" w:rsidR="007F5873">
        <w:rPr>
          <w:rFonts w:ascii="Arial" w:hAnsi="Arial" w:cs="Arial"/>
          <w:b/>
        </w:rPr>
        <w:t xml:space="preserve"> až od zjištění </w:t>
      </w:r>
      <w:r w:rsidRPr="00FE3101" w:rsidR="0057483C">
        <w:rPr>
          <w:rFonts w:ascii="Arial" w:hAnsi="Arial" w:cs="Arial"/>
          <w:b/>
        </w:rPr>
        <w:t>konkrétních rizik</w:t>
      </w:r>
      <w:r w:rsidRPr="00FE3101" w:rsidR="00931380">
        <w:rPr>
          <w:rFonts w:ascii="Arial" w:hAnsi="Arial" w:cs="Arial"/>
          <w:b/>
        </w:rPr>
        <w:t>. Současně žádáme, aby takový postup po uvedenou dobu tolerovaly i příslušné další dozorové orgány.</w:t>
      </w:r>
    </w:p>
    <w:p w:rsidR="00161A52" w:rsidRPr="00FE3101" w:rsidP="00FF1D58">
      <w:pPr>
        <w:spacing w:before="120" w:after="0" w:line="240" w:lineRule="auto"/>
        <w:jc w:val="both"/>
        <w:rPr>
          <w:rFonts w:ascii="Arial" w:hAnsi="Arial" w:cs="Arial"/>
          <w:b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7"/>
        <w:gridCol w:w="4607"/>
      </w:tblGrid>
      <w:tr w:rsidTr="004D0CB9">
        <w:tblPrEx>
          <w:tblW w:w="9214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607" w:type="dxa"/>
          </w:tcPr>
          <w:p w:rsidR="00584CD0" w:rsidRPr="0051585F" w:rsidP="00FF1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07" w:type="dxa"/>
          </w:tcPr>
          <w:p w:rsidR="00584CD0" w:rsidRPr="0051585F" w:rsidP="00FF1D5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1585F">
              <w:rPr>
                <w:rFonts w:ascii="Arial" w:hAnsi="Arial" w:cs="Arial"/>
                <w:b/>
              </w:rPr>
              <w:t>Ing. Libor Kazda</w:t>
            </w:r>
          </w:p>
          <w:p w:rsidR="00584CD0" w:rsidRPr="0051585F" w:rsidP="00FF1D58">
            <w:pPr>
              <w:spacing w:after="0"/>
              <w:jc w:val="center"/>
              <w:rPr>
                <w:rFonts w:ascii="Arial" w:hAnsi="Arial" w:cs="Arial"/>
              </w:rPr>
            </w:pPr>
            <w:r w:rsidRPr="0051585F">
              <w:rPr>
                <w:rFonts w:ascii="Arial" w:hAnsi="Arial" w:cs="Arial"/>
                <w:b/>
              </w:rPr>
              <w:t>ředitel</w:t>
            </w:r>
          </w:p>
        </w:tc>
      </w:tr>
    </w:tbl>
    <w:p w:rsidR="009F0911" w:rsidRPr="00F2086C" w:rsidP="00C82E40">
      <w:pPr>
        <w:spacing w:before="120" w:after="0" w:line="240" w:lineRule="auto"/>
        <w:jc w:val="both"/>
        <w:rPr>
          <w:color w:val="000000"/>
          <w:shd w:val="clear" w:color="auto" w:fill="FFFFFF"/>
        </w:rPr>
      </w:pPr>
    </w:p>
    <w:sectPr w:rsidSect="00CF62C7">
      <w:footerReference w:type="default" r:id="rId7"/>
      <w:pgSz w:w="11906" w:h="16838"/>
      <w:pgMar w:top="1418" w:right="141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38E4">
    <w:pPr>
      <w:pStyle w:val="Footer"/>
      <w:jc w:val="center"/>
      <w:rPr>
        <w:rFonts w:ascii="Arial" w:hAnsi="Arial" w:cs="Arial"/>
        <w:sz w:val="20"/>
        <w:szCs w:val="20"/>
      </w:rPr>
    </w:pPr>
  </w:p>
  <w:p w:rsidR="006938E4" w:rsidRPr="006938E4" w:rsidP="006938E4">
    <w:pPr>
      <w:pStyle w:val="Footer"/>
      <w:jc w:val="center"/>
      <w:rPr>
        <w:rFonts w:ascii="Arial" w:hAnsi="Arial" w:cs="Arial"/>
        <w:sz w:val="20"/>
        <w:szCs w:val="20"/>
      </w:rPr>
    </w:pPr>
    <w:r w:rsidRPr="006938E4">
      <w:rPr>
        <w:rFonts w:ascii="Arial" w:hAnsi="Arial" w:cs="Arial"/>
        <w:sz w:val="20"/>
        <w:szCs w:val="20"/>
      </w:rPr>
      <w:t xml:space="preserve">Stránka </w:t>
    </w:r>
    <w:r w:rsidRPr="006938E4">
      <w:rPr>
        <w:rFonts w:ascii="Arial" w:hAnsi="Arial" w:cs="Arial"/>
        <w:bCs/>
        <w:sz w:val="20"/>
        <w:szCs w:val="20"/>
      </w:rPr>
      <w:fldChar w:fldCharType="begin"/>
    </w:r>
    <w:r w:rsidRPr="006938E4">
      <w:rPr>
        <w:rFonts w:ascii="Arial" w:hAnsi="Arial" w:cs="Arial"/>
        <w:bCs/>
        <w:sz w:val="20"/>
        <w:szCs w:val="20"/>
      </w:rPr>
      <w:instrText>PAGE</w:instrText>
    </w:r>
    <w:r w:rsidRPr="006938E4">
      <w:rPr>
        <w:rFonts w:ascii="Arial" w:hAnsi="Arial" w:cs="Arial"/>
        <w:bCs/>
        <w:sz w:val="20"/>
        <w:szCs w:val="20"/>
      </w:rPr>
      <w:fldChar w:fldCharType="separate"/>
    </w:r>
    <w:r w:rsidR="00BA712C">
      <w:rPr>
        <w:rFonts w:ascii="Arial" w:hAnsi="Arial" w:cs="Arial"/>
        <w:bCs/>
        <w:noProof/>
        <w:sz w:val="20"/>
        <w:szCs w:val="20"/>
      </w:rPr>
      <w:t>2</w:t>
    </w:r>
    <w:r w:rsidRPr="006938E4">
      <w:rPr>
        <w:rFonts w:ascii="Arial" w:hAnsi="Arial" w:cs="Arial"/>
        <w:bCs/>
        <w:sz w:val="20"/>
        <w:szCs w:val="20"/>
      </w:rPr>
      <w:fldChar w:fldCharType="end"/>
    </w:r>
    <w:r w:rsidRPr="006938E4">
      <w:rPr>
        <w:rFonts w:ascii="Arial" w:hAnsi="Arial" w:cs="Arial"/>
        <w:sz w:val="20"/>
        <w:szCs w:val="20"/>
      </w:rPr>
      <w:t xml:space="preserve"> z </w:t>
    </w:r>
    <w:r w:rsidRPr="006938E4">
      <w:rPr>
        <w:rFonts w:ascii="Arial" w:hAnsi="Arial" w:cs="Arial"/>
        <w:bCs/>
        <w:sz w:val="20"/>
        <w:szCs w:val="20"/>
      </w:rPr>
      <w:fldChar w:fldCharType="begin"/>
    </w:r>
    <w:r w:rsidRPr="006938E4">
      <w:rPr>
        <w:rFonts w:ascii="Arial" w:hAnsi="Arial" w:cs="Arial"/>
        <w:bCs/>
        <w:sz w:val="20"/>
        <w:szCs w:val="20"/>
      </w:rPr>
      <w:instrText>NUMPAGES</w:instrText>
    </w:r>
    <w:r w:rsidRPr="006938E4">
      <w:rPr>
        <w:rFonts w:ascii="Arial" w:hAnsi="Arial" w:cs="Arial"/>
        <w:bCs/>
        <w:sz w:val="20"/>
        <w:szCs w:val="20"/>
      </w:rPr>
      <w:fldChar w:fldCharType="separate"/>
    </w:r>
    <w:r w:rsidR="00BA712C">
      <w:rPr>
        <w:rFonts w:ascii="Arial" w:hAnsi="Arial" w:cs="Arial"/>
        <w:bCs/>
        <w:noProof/>
        <w:sz w:val="20"/>
        <w:szCs w:val="20"/>
      </w:rPr>
      <w:t>3</w:t>
    </w:r>
    <w:r w:rsidRPr="006938E4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501AD2" w:rsidP="00077704">
      <w:pPr>
        <w:spacing w:after="0" w:line="240" w:lineRule="auto"/>
      </w:pPr>
      <w:r>
        <w:separator/>
      </w:r>
    </w:p>
  </w:footnote>
  <w:footnote w:type="continuationSeparator" w:id="1">
    <w:p w:rsidR="00501AD2" w:rsidP="00077704">
      <w:pPr>
        <w:spacing w:after="0" w:line="240" w:lineRule="auto"/>
      </w:pPr>
      <w:r>
        <w:continuationSeparator/>
      </w:r>
    </w:p>
  </w:footnote>
  <w:footnote w:id="2">
    <w:p w:rsidR="008A4280" w:rsidRPr="003134D1" w:rsidP="00FF1D58">
      <w:pPr>
        <w:pStyle w:val="FootnoteText"/>
        <w:spacing w:before="60"/>
        <w:ind w:left="567" w:hanging="567"/>
        <w:jc w:val="both"/>
        <w:rPr>
          <w:rFonts w:ascii="Arial" w:hAnsi="Arial" w:cs="Arial"/>
        </w:rPr>
      </w:pPr>
      <w:r w:rsidRPr="00F86A7C">
        <w:rPr>
          <w:rStyle w:val="FootnoteReference"/>
          <w:rFonts w:ascii="Arial" w:hAnsi="Arial" w:cs="Arial"/>
        </w:rPr>
        <w:footnoteRef/>
      </w:r>
      <w:r w:rsidRPr="00F86A7C">
        <w:rPr>
          <w:rFonts w:ascii="Arial" w:hAnsi="Arial" w:cs="Arial"/>
        </w:rPr>
        <w:t xml:space="preserve"> </w:t>
      </w:r>
      <w:r w:rsidRPr="00F86A7C" w:rsidR="00F86A7C">
        <w:rPr>
          <w:rFonts w:ascii="Arial" w:hAnsi="Arial" w:cs="Arial"/>
        </w:rPr>
        <w:tab/>
      </w:r>
      <w:r w:rsidRPr="00F86A7C">
        <w:rPr>
          <w:rFonts w:ascii="Arial" w:hAnsi="Arial" w:cs="Arial"/>
        </w:rPr>
        <w:t>Zákon č. 253/2008 Sb., o některých opatřeních proti legalizaci výnosů z trestné činnosti a financování terorismu, ve znění účinném od 1. ledna 2017 (AML zákon)</w:t>
      </w:r>
    </w:p>
  </w:footnote>
  <w:footnote w:id="3">
    <w:p w:rsidR="0061591C" w:rsidRPr="003134D1" w:rsidP="00FF1D58">
      <w:pPr>
        <w:pStyle w:val="FootnoteText"/>
        <w:spacing w:before="60"/>
        <w:ind w:left="567" w:hanging="567"/>
        <w:jc w:val="both"/>
        <w:rPr>
          <w:rFonts w:ascii="Arial" w:hAnsi="Arial" w:cs="Arial"/>
        </w:rPr>
      </w:pPr>
      <w:r w:rsidRPr="003134D1">
        <w:rPr>
          <w:rStyle w:val="FootnoteReference"/>
          <w:rFonts w:ascii="Arial" w:hAnsi="Arial" w:cs="Arial"/>
        </w:rPr>
        <w:footnoteRef/>
      </w:r>
      <w:r w:rsidRPr="003134D1">
        <w:rPr>
          <w:rFonts w:ascii="Arial" w:hAnsi="Arial" w:cs="Arial"/>
        </w:rPr>
        <w:t xml:space="preserve"> </w:t>
      </w:r>
      <w:r w:rsidRPr="003134D1" w:rsidR="00F86A7C">
        <w:rPr>
          <w:rFonts w:ascii="Arial" w:hAnsi="Arial" w:cs="Arial"/>
        </w:rPr>
        <w:tab/>
      </w:r>
      <w:r w:rsidRPr="003134D1" w:rsidR="002C5444">
        <w:rPr>
          <w:rFonts w:ascii="Arial" w:hAnsi="Arial" w:cs="Arial"/>
        </w:rPr>
        <w:t xml:space="preserve">Financial institutions should be required to take reasonable </w:t>
      </w:r>
      <w:r w:rsidRPr="003134D1" w:rsidR="00407B46">
        <w:rPr>
          <w:rFonts w:ascii="Arial" w:hAnsi="Arial" w:cs="Arial"/>
        </w:rPr>
        <w:t>measures to determine whether a </w:t>
      </w:r>
      <w:r w:rsidRPr="003134D1" w:rsidR="002C5444">
        <w:rPr>
          <w:rFonts w:ascii="Arial" w:hAnsi="Arial" w:cs="Arial"/>
        </w:rPr>
        <w:t xml:space="preserve">customer or beneficial owner is a domestic PEP or a person who </w:t>
      </w:r>
      <w:r w:rsidRPr="003134D1" w:rsidR="00407B46">
        <w:rPr>
          <w:rFonts w:ascii="Arial" w:hAnsi="Arial" w:cs="Arial"/>
        </w:rPr>
        <w:t>is or has been entrusted with a </w:t>
      </w:r>
      <w:r w:rsidRPr="003134D1" w:rsidR="002C5444">
        <w:rPr>
          <w:rFonts w:ascii="Arial" w:hAnsi="Arial" w:cs="Arial"/>
        </w:rPr>
        <w:t>prominent function by an international organisation. In cases of a higher risk business relationship with such persons, financial institutions should be required to apply the measures referred to in paragraphs (b), (c) and (d).</w:t>
      </w:r>
    </w:p>
  </w:footnote>
  <w:footnote w:id="4">
    <w:p w:rsidR="00131BF8" w:rsidRPr="003134D1" w:rsidP="00131BF8">
      <w:pPr>
        <w:pStyle w:val="FootnoteText"/>
        <w:spacing w:before="60"/>
        <w:ind w:left="567" w:hanging="567"/>
        <w:jc w:val="both"/>
        <w:rPr>
          <w:rStyle w:val="FootnoteReference"/>
          <w:rFonts w:ascii="Arial" w:hAnsi="Arial" w:cs="Arial"/>
          <w:vertAlign w:val="baseline"/>
        </w:rPr>
      </w:pPr>
      <w:r w:rsidRPr="003134D1">
        <w:rPr>
          <w:rStyle w:val="FootnoteReference"/>
          <w:rFonts w:ascii="Arial" w:hAnsi="Arial" w:cs="Arial"/>
        </w:rPr>
        <w:footnoteRef/>
      </w:r>
      <w:r w:rsidRPr="003134D1">
        <w:rPr>
          <w:rStyle w:val="FootnoteReference"/>
        </w:rPr>
        <w:t xml:space="preserve"> </w:t>
      </w:r>
      <w:r w:rsidRPr="003134D1">
        <w:rPr>
          <w:rStyle w:val="FootnoteReference"/>
        </w:rPr>
        <w:tab/>
      </w:r>
      <w:r w:rsidRPr="003134D1">
        <w:rPr>
          <w:rStyle w:val="FootnoteReference"/>
          <w:rFonts w:ascii="Arial" w:hAnsi="Arial" w:cs="Arial"/>
          <w:vertAlign w:val="baseline"/>
        </w:rPr>
        <w:t>Návrh Směrnice Evropského Parlamentu a Rady, kterou se mění směrnice (EU) 2015/849 o předcházení využívání finančního systému k praní peněz nebo financování terorismu a směrnice 2009/101/ES (2016/0208</w:t>
      </w:r>
      <w:r>
        <w:rPr>
          <w:rFonts w:ascii="Arial" w:hAnsi="Arial" w:cs="Arial"/>
        </w:rPr>
        <w:t>(COD)</w:t>
      </w:r>
      <w:r w:rsidRPr="003134D1">
        <w:rPr>
          <w:rStyle w:val="FootnoteReference"/>
          <w:rFonts w:ascii="Arial" w:hAnsi="Arial" w:cs="Arial"/>
          <w:vertAlign w:val="baseline"/>
        </w:rPr>
        <w:t xml:space="preserve">, </w:t>
      </w:r>
      <w:r>
        <w:rPr>
          <w:rFonts w:ascii="Arial" w:hAnsi="Arial" w:cs="Arial"/>
        </w:rPr>
        <w:t xml:space="preserve">dok. č. </w:t>
      </w:r>
      <w:r w:rsidRPr="003134D1">
        <w:rPr>
          <w:rStyle w:val="FootnoteReference"/>
          <w:rFonts w:ascii="Arial" w:hAnsi="Arial" w:cs="Arial"/>
          <w:vertAlign w:val="baseline"/>
        </w:rPr>
        <w:t>15605/16 ze dne 19. prosince 20169)</w:t>
      </w:r>
      <w:r>
        <w:rPr>
          <w:rFonts w:ascii="Arial" w:hAnsi="Arial" w:cs="Arial"/>
        </w:rPr>
        <w:t>.</w:t>
      </w:r>
    </w:p>
  </w:footnote>
  <w:footnote w:id="5">
    <w:p w:rsidR="00F87497" w:rsidRPr="003134D1" w:rsidP="00FF1D58">
      <w:pPr>
        <w:pStyle w:val="FootnoteText"/>
        <w:spacing w:before="60"/>
        <w:ind w:left="567" w:hanging="567"/>
        <w:jc w:val="both"/>
        <w:rPr>
          <w:rStyle w:val="FootnoteReference"/>
          <w:rFonts w:ascii="Arial" w:hAnsi="Arial" w:cs="Arial"/>
        </w:rPr>
      </w:pPr>
      <w:r w:rsidRPr="003134D1">
        <w:rPr>
          <w:rStyle w:val="FootnoteReference"/>
          <w:rFonts w:ascii="Arial" w:hAnsi="Arial" w:cs="Arial"/>
        </w:rPr>
        <w:footnoteRef/>
      </w:r>
      <w:r w:rsidRPr="003134D1">
        <w:rPr>
          <w:rStyle w:val="FootnoteReference"/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A6C4F" w:rsidR="001456BD">
        <w:rPr>
          <w:rStyle w:val="FootnoteReference"/>
          <w:rFonts w:ascii="Arial" w:hAnsi="Arial" w:cs="Arial"/>
          <w:vertAlign w:val="baseline"/>
        </w:rPr>
        <w:t>Směrnice Evropského Parlamentu a Rady</w:t>
      </w:r>
      <w:r w:rsidR="001456BD">
        <w:rPr>
          <w:rFonts w:ascii="Arial" w:hAnsi="Arial" w:cs="Arial"/>
        </w:rPr>
        <w:t xml:space="preserve"> </w:t>
      </w:r>
      <w:r w:rsidRPr="00E44845" w:rsidR="001456BD">
        <w:rPr>
          <w:rStyle w:val="FootnoteReference"/>
          <w:rFonts w:ascii="Arial" w:hAnsi="Arial" w:cs="Arial"/>
          <w:vertAlign w:val="baseline"/>
        </w:rPr>
        <w:t xml:space="preserve">(EU) </w:t>
      </w:r>
      <w:r w:rsidRPr="00441DD5" w:rsidR="001456BD">
        <w:rPr>
          <w:rStyle w:val="FootnoteReference"/>
          <w:rFonts w:ascii="Arial" w:hAnsi="Arial" w:cs="Arial"/>
          <w:vertAlign w:val="baseline"/>
        </w:rPr>
        <w:t>2015/849 o předcházení využívání finančního systému k praní peněz nebo financování terorismu</w:t>
      </w:r>
      <w:r w:rsidR="001456BD">
        <w:rPr>
          <w:rFonts w:ascii="Arial" w:hAnsi="Arial" w:cs="Arial"/>
        </w:rPr>
        <w:t xml:space="preserve"> </w:t>
      </w:r>
      <w:r w:rsidRPr="001456BD" w:rsidR="001456BD">
        <w:rPr>
          <w:rFonts w:ascii="Arial" w:hAnsi="Arial" w:cs="Arial"/>
        </w:rPr>
        <w:t>, o změně nařízení Evropského parlamentu a Rady (EU) č. 648/2012 a o zrušení směrnice Evropského parlamentu a Rady 2005/60/ES a směrnice Komise 2006/70/ES</w:t>
      </w:r>
      <w:r w:rsidR="001456BD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height:8.85pt;width:8.85pt" o:bullet="t">
        <v:imagedata r:id="rId1" o:title="artFB13"/>
      </v:shape>
    </w:pict>
  </w:numPicBullet>
  <w:abstractNum w:abstractNumId="0">
    <w:nsid w:val="127265BB"/>
    <w:multiLevelType w:val="hybridMultilevel"/>
    <w:tmpl w:val="EC2A92D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556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A6E4614"/>
    <w:multiLevelType w:val="hybridMultilevel"/>
    <w:tmpl w:val="414EA11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Nadpis1Char"/>
    <w:qFormat/>
    <w:rsid w:val="009702A6"/>
    <w:pPr>
      <w:keepNext/>
      <w:spacing w:after="0" w:line="240" w:lineRule="auto"/>
      <w:jc w:val="center"/>
      <w:outlineLvl w:val="0"/>
    </w:pPr>
    <w:rPr>
      <w:rFonts w:ascii="Arial" w:hAnsi="Arial"/>
      <w:b/>
      <w:sz w:val="96"/>
      <w:szCs w:val="24"/>
    </w:rPr>
  </w:style>
  <w:style w:type="paragraph" w:styleId="Heading7">
    <w:name w:val="heading 7"/>
    <w:basedOn w:val="Normal"/>
    <w:next w:val="Normal"/>
    <w:link w:val="Nadpis7Char"/>
    <w:qFormat/>
    <w:rsid w:val="009702A6"/>
    <w:pPr>
      <w:keepNext/>
      <w:spacing w:after="0" w:line="240" w:lineRule="auto"/>
      <w:ind w:left="-142" w:firstLine="142"/>
      <w:outlineLvl w:val="6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B191E"/>
  </w:style>
  <w:style w:type="paragraph" w:styleId="BodyText">
    <w:name w:val="Body Text"/>
    <w:basedOn w:val="Normal"/>
    <w:link w:val="ZkladntextChar"/>
    <w:rsid w:val="0086333D"/>
    <w:pPr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BodyText"/>
    <w:rsid w:val="0086333D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0777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FootnoteText"/>
    <w:uiPriority w:val="99"/>
    <w:semiHidden/>
    <w:rsid w:val="0007770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77704"/>
    <w:rPr>
      <w:vertAlign w:val="superscript"/>
    </w:rPr>
  </w:style>
  <w:style w:type="character" w:customStyle="1" w:styleId="Nadpis1Char">
    <w:name w:val="Nadpis 1 Char"/>
    <w:link w:val="Heading1"/>
    <w:rsid w:val="009702A6"/>
    <w:rPr>
      <w:rFonts w:ascii="Arial" w:eastAsia="Times New Roman" w:hAnsi="Arial" w:cs="Times New Roman"/>
      <w:b/>
      <w:sz w:val="96"/>
      <w:szCs w:val="24"/>
    </w:rPr>
  </w:style>
  <w:style w:type="character" w:customStyle="1" w:styleId="Nadpis7Char">
    <w:name w:val="Nadpis 7 Char"/>
    <w:link w:val="Heading7"/>
    <w:rsid w:val="009702A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Vnitnadresa">
    <w:name w:val="Vnitřní adresa"/>
    <w:basedOn w:val="BodyText"/>
    <w:rsid w:val="009702A6"/>
    <w:pPr>
      <w:spacing w:line="220" w:lineRule="atLeast"/>
      <w:jc w:val="left"/>
    </w:pPr>
    <w:rPr>
      <w:rFonts w:ascii="Arial" w:hAnsi="Arial"/>
      <w:spacing w:val="-5"/>
      <w:sz w:val="20"/>
      <w:szCs w:val="20"/>
    </w:rPr>
  </w:style>
  <w:style w:type="paragraph" w:styleId="Date">
    <w:name w:val="Date"/>
    <w:basedOn w:val="BodyText"/>
    <w:next w:val="Vnitnadresa"/>
    <w:link w:val="DatumChar"/>
    <w:rsid w:val="009702A6"/>
    <w:pPr>
      <w:spacing w:after="440" w:line="220" w:lineRule="atLeast"/>
      <w:ind w:left="4320"/>
      <w:jc w:val="left"/>
    </w:pPr>
    <w:rPr>
      <w:rFonts w:ascii="Arial" w:hAnsi="Arial"/>
      <w:spacing w:val="-5"/>
      <w:sz w:val="20"/>
      <w:szCs w:val="20"/>
    </w:rPr>
  </w:style>
  <w:style w:type="character" w:customStyle="1" w:styleId="DatumChar">
    <w:name w:val="Datum Char"/>
    <w:link w:val="Date"/>
    <w:rsid w:val="009702A6"/>
    <w:rPr>
      <w:rFonts w:ascii="Arial" w:eastAsia="Times New Roman" w:hAnsi="Arial" w:cs="Times New Roman"/>
      <w:spacing w:val="-5"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7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rsid w:val="009702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ZhlavChar"/>
    <w:uiPriority w:val="99"/>
    <w:unhideWhenUsed/>
    <w:rsid w:val="00655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550BA"/>
  </w:style>
  <w:style w:type="paragraph" w:styleId="Footer">
    <w:name w:val="footer"/>
    <w:basedOn w:val="Normal"/>
    <w:link w:val="ZpatChar"/>
    <w:uiPriority w:val="99"/>
    <w:unhideWhenUsed/>
    <w:rsid w:val="00655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550BA"/>
  </w:style>
  <w:style w:type="character" w:styleId="CommentReference">
    <w:name w:val="annotation reference"/>
    <w:uiPriority w:val="99"/>
    <w:semiHidden/>
    <w:unhideWhenUsed/>
    <w:rsid w:val="00C4647D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C4647D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C4647D"/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C4647D"/>
    <w:rPr>
      <w:b/>
      <w:bCs/>
    </w:rPr>
  </w:style>
  <w:style w:type="character" w:customStyle="1" w:styleId="PedmtkomenteChar">
    <w:name w:val="Předmět komentáře Char"/>
    <w:link w:val="CommentSubject"/>
    <w:uiPriority w:val="99"/>
    <w:semiHidden/>
    <w:rsid w:val="00C46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pn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7CD18-5EB5-4464-9504-0C2AF9A7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955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2016-12-22T12:56:00Z</dcterms:created>
</cp:coreProperties>
</file>