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04059E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Oznámení o vyhlášení výběrového řízení na služební místo</w:t>
      </w:r>
    </w:p>
    <w:p w:rsidR="00632D5C" w:rsidRPr="005238D1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8D1">
        <w:rPr>
          <w:rFonts w:ascii="Arial" w:hAnsi="Arial" w:cs="Arial"/>
          <w:b/>
          <w:sz w:val="24"/>
          <w:szCs w:val="24"/>
        </w:rPr>
        <w:t>vrchní ministerský rada</w:t>
      </w:r>
      <w:r w:rsidR="0034109A">
        <w:rPr>
          <w:rFonts w:ascii="Arial" w:hAnsi="Arial" w:cs="Arial"/>
          <w:b/>
          <w:sz w:val="24"/>
          <w:szCs w:val="24"/>
        </w:rPr>
        <w:t xml:space="preserve"> – auditor/auditorka</w:t>
      </w:r>
      <w:r w:rsidRPr="005238D1">
        <w:rPr>
          <w:rFonts w:ascii="Arial" w:hAnsi="Arial" w:cs="Arial"/>
          <w:b/>
          <w:sz w:val="24"/>
          <w:szCs w:val="24"/>
        </w:rPr>
        <w:t>,</w:t>
      </w:r>
      <w:r w:rsidRPr="005238D1">
        <w:rPr>
          <w:rFonts w:ascii="Arial" w:hAnsi="Arial" w:cs="Arial"/>
          <w:b/>
          <w:sz w:val="24"/>
          <w:szCs w:val="24"/>
        </w:rPr>
        <w:t xml:space="preserve"> FM </w:t>
      </w:r>
      <w:r w:rsidR="00E92F3F">
        <w:rPr>
          <w:rFonts w:ascii="Arial" w:hAnsi="Arial" w:cs="Arial"/>
          <w:b/>
          <w:sz w:val="24"/>
          <w:szCs w:val="24"/>
        </w:rPr>
        <w:t>37</w:t>
      </w:r>
      <w:r w:rsidR="00B30643">
        <w:rPr>
          <w:rFonts w:ascii="Arial" w:hAnsi="Arial" w:cs="Arial"/>
          <w:b/>
          <w:sz w:val="24"/>
          <w:szCs w:val="24"/>
        </w:rPr>
        <w:t>16</w:t>
      </w:r>
      <w:r w:rsidRPr="005238D1">
        <w:rPr>
          <w:rFonts w:ascii="Arial" w:hAnsi="Arial" w:cs="Arial"/>
          <w:b/>
          <w:sz w:val="24"/>
          <w:szCs w:val="24"/>
        </w:rPr>
        <w:t>,</w:t>
      </w:r>
    </w:p>
    <w:p w:rsidR="00632D5C" w:rsidRPr="005238D1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8D1">
        <w:rPr>
          <w:rFonts w:ascii="Arial" w:hAnsi="Arial" w:cs="Arial"/>
          <w:b/>
          <w:sz w:val="24"/>
          <w:szCs w:val="24"/>
        </w:rPr>
        <w:t>v</w:t>
      </w:r>
      <w:r w:rsidRPr="005238D1" w:rsidR="005238D1">
        <w:rPr>
          <w:rFonts w:ascii="Arial" w:hAnsi="Arial" w:cs="Arial"/>
          <w:b/>
          <w:sz w:val="24"/>
          <w:szCs w:val="24"/>
        </w:rPr>
        <w:t> </w:t>
      </w:r>
      <w:r w:rsidRPr="005238D1">
        <w:rPr>
          <w:rFonts w:ascii="Arial" w:hAnsi="Arial" w:cs="Arial"/>
          <w:b/>
          <w:sz w:val="24"/>
          <w:szCs w:val="24"/>
        </w:rPr>
        <w:t>odboru</w:t>
      </w:r>
      <w:r w:rsidRPr="005238D1" w:rsidR="005238D1">
        <w:rPr>
          <w:rFonts w:ascii="Arial" w:hAnsi="Arial" w:cs="Arial"/>
          <w:b/>
          <w:sz w:val="24"/>
          <w:szCs w:val="24"/>
        </w:rPr>
        <w:t xml:space="preserve"> </w:t>
      </w:r>
      <w:r w:rsidR="0034109A">
        <w:rPr>
          <w:rFonts w:ascii="Arial" w:hAnsi="Arial" w:cs="Arial"/>
          <w:b/>
          <w:sz w:val="24"/>
          <w:szCs w:val="24"/>
        </w:rPr>
        <w:t>52</w:t>
      </w:r>
      <w:r w:rsidRPr="005238D1" w:rsidR="00F76EF8">
        <w:rPr>
          <w:rFonts w:ascii="Arial" w:hAnsi="Arial" w:cs="Arial"/>
          <w:b/>
          <w:sz w:val="24"/>
          <w:szCs w:val="24"/>
        </w:rPr>
        <w:t xml:space="preserve"> – </w:t>
      </w:r>
      <w:r w:rsidR="0034109A">
        <w:rPr>
          <w:rFonts w:ascii="Arial" w:hAnsi="Arial" w:cs="Arial"/>
          <w:b/>
          <w:sz w:val="24"/>
          <w:szCs w:val="24"/>
        </w:rPr>
        <w:t>Auditní orgán</w:t>
      </w:r>
      <w:r w:rsidRPr="005238D1">
        <w:rPr>
          <w:rFonts w:ascii="Arial" w:hAnsi="Arial" w:cs="Arial"/>
          <w:b/>
          <w:sz w:val="24"/>
          <w:szCs w:val="24"/>
        </w:rPr>
        <w:t>,</w:t>
      </w:r>
    </w:p>
    <w:p w:rsidR="00632D5C" w:rsidRPr="005238D1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38D1">
        <w:rPr>
          <w:rFonts w:ascii="Arial" w:hAnsi="Arial" w:cs="Arial"/>
          <w:b/>
          <w:sz w:val="24"/>
          <w:szCs w:val="24"/>
        </w:rPr>
        <w:t xml:space="preserve">odd. </w:t>
      </w:r>
      <w:r w:rsidR="0034109A">
        <w:rPr>
          <w:rFonts w:ascii="Arial" w:hAnsi="Arial" w:cs="Arial"/>
          <w:b/>
          <w:sz w:val="24"/>
          <w:szCs w:val="24"/>
        </w:rPr>
        <w:t>5211</w:t>
      </w:r>
      <w:r w:rsidRPr="005238D1" w:rsidR="00266813">
        <w:rPr>
          <w:rFonts w:ascii="Arial" w:hAnsi="Arial" w:cs="Arial"/>
          <w:b/>
          <w:sz w:val="24"/>
          <w:szCs w:val="24"/>
        </w:rPr>
        <w:t xml:space="preserve"> – </w:t>
      </w:r>
      <w:r w:rsidR="0034109A">
        <w:rPr>
          <w:rFonts w:ascii="Arial" w:hAnsi="Arial" w:cs="Arial"/>
          <w:b/>
          <w:sz w:val="24"/>
          <w:szCs w:val="24"/>
        </w:rPr>
        <w:t>Audit NPO</w:t>
      </w:r>
    </w:p>
    <w:p w:rsidR="00266813" w:rsidRPr="0004059E" w:rsidP="0004059E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32D5C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Datum:</w:t>
      </w:r>
      <w:r w:rsidRPr="0004059E" w:rsidR="00822AF1">
        <w:rPr>
          <w:rFonts w:ascii="Arial" w:hAnsi="Arial" w:cs="Arial"/>
          <w:sz w:val="24"/>
          <w:szCs w:val="24"/>
        </w:rPr>
        <w:t xml:space="preserve">  </w:t>
      </w:r>
      <w:r w:rsidR="002A76F9">
        <w:rPr>
          <w:rFonts w:ascii="Arial" w:hAnsi="Arial" w:cs="Arial"/>
          <w:sz w:val="24"/>
          <w:szCs w:val="24"/>
        </w:rPr>
        <w:t>21. června 2022</w:t>
      </w:r>
      <w:r w:rsidRPr="0004059E" w:rsidR="00822AF1">
        <w:rPr>
          <w:rFonts w:ascii="Arial" w:hAnsi="Arial" w:cs="Arial"/>
          <w:sz w:val="24"/>
          <w:szCs w:val="24"/>
        </w:rPr>
        <w:t xml:space="preserve">    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PID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5F6E3C" w:rsidR="005F6E3C">
        <w:rPr>
          <w:rFonts w:ascii="Arial" w:hAnsi="Arial" w:cs="Arial"/>
          <w:sz w:val="24"/>
          <w:szCs w:val="24"/>
        </w:rPr>
        <w:t>MFCRCXJBZH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Č. j.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5F6E3C" w:rsidR="005F6E3C">
        <w:rPr>
          <w:rFonts w:ascii="Arial" w:hAnsi="Arial" w:cs="Arial"/>
          <w:sz w:val="24"/>
          <w:szCs w:val="24"/>
        </w:rPr>
        <w:t>MF-17063/2022/3003-4</w:t>
      </w:r>
    </w:p>
    <w:p w:rsidR="00632D5C" w:rsidRPr="0004059E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CD414F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Státní tajemník v Ministerstvu financí jako</w:t>
      </w:r>
      <w:r w:rsidRPr="0004059E" w:rsidR="00266813">
        <w:rPr>
          <w:rFonts w:ascii="Arial" w:hAnsi="Arial" w:cs="Arial"/>
          <w:sz w:val="24"/>
          <w:szCs w:val="24"/>
        </w:rPr>
        <w:t xml:space="preserve"> příslušný služební orgán podle </w:t>
      </w:r>
      <w:r w:rsidR="005238D1">
        <w:rPr>
          <w:rFonts w:ascii="Arial" w:hAnsi="Arial" w:cs="Arial"/>
          <w:sz w:val="24"/>
          <w:szCs w:val="24"/>
        </w:rPr>
        <w:br/>
      </w:r>
      <w:r w:rsidRPr="0004059E" w:rsidR="00266813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 10 odst. 1 písm. f) zákona č. 234/2014 Sb., o státní službě, ve znění </w:t>
      </w:r>
      <w:r w:rsidR="005238D1">
        <w:rPr>
          <w:rFonts w:ascii="Arial" w:hAnsi="Arial" w:cs="Arial"/>
          <w:sz w:val="24"/>
          <w:szCs w:val="24"/>
        </w:rPr>
        <w:br/>
      </w:r>
      <w:r w:rsidRPr="005238D1">
        <w:rPr>
          <w:rFonts w:ascii="Arial" w:hAnsi="Arial" w:cs="Arial"/>
          <w:sz w:val="24"/>
          <w:szCs w:val="24"/>
        </w:rPr>
        <w:t xml:space="preserve">pozdějších předpisů (dále jen „zákon o státní službě“), vyhlašuje výběrové řízení </w:t>
      </w:r>
      <w:r w:rsidRPr="005238D1" w:rsidR="005238D1">
        <w:rPr>
          <w:rFonts w:ascii="Arial" w:hAnsi="Arial" w:cs="Arial"/>
          <w:sz w:val="24"/>
          <w:szCs w:val="24"/>
        </w:rPr>
        <w:br/>
      </w:r>
      <w:r w:rsidRPr="005238D1">
        <w:rPr>
          <w:rFonts w:ascii="Arial" w:hAnsi="Arial" w:cs="Arial"/>
          <w:sz w:val="24"/>
          <w:szCs w:val="24"/>
        </w:rPr>
        <w:t xml:space="preserve">na služební místo </w:t>
      </w:r>
      <w:r w:rsidRPr="005238D1" w:rsidR="004C4B4F">
        <w:rPr>
          <w:rFonts w:ascii="Arial" w:hAnsi="Arial" w:cs="Arial"/>
          <w:sz w:val="24"/>
          <w:szCs w:val="24"/>
        </w:rPr>
        <w:t xml:space="preserve">vrchní </w:t>
      </w:r>
      <w:r w:rsidRPr="00CD414F" w:rsidR="004C4B4F">
        <w:rPr>
          <w:rFonts w:ascii="Arial" w:hAnsi="Arial" w:cs="Arial"/>
          <w:sz w:val="24"/>
          <w:szCs w:val="24"/>
        </w:rPr>
        <w:t>ministerský rada</w:t>
      </w:r>
      <w:r w:rsidRPr="00CD414F" w:rsidR="0034109A">
        <w:rPr>
          <w:rFonts w:ascii="Arial" w:hAnsi="Arial" w:cs="Arial"/>
          <w:sz w:val="24"/>
          <w:szCs w:val="24"/>
        </w:rPr>
        <w:t xml:space="preserve"> – auditor/auditorka</w:t>
      </w:r>
      <w:r w:rsidRPr="00CD414F" w:rsidR="004C4B4F">
        <w:rPr>
          <w:rFonts w:ascii="Arial" w:hAnsi="Arial" w:cs="Arial"/>
          <w:sz w:val="24"/>
          <w:szCs w:val="24"/>
        </w:rPr>
        <w:t>,</w:t>
      </w:r>
      <w:r w:rsidRPr="00CD414F" w:rsidR="00266813">
        <w:rPr>
          <w:rFonts w:ascii="Arial" w:hAnsi="Arial" w:cs="Arial"/>
          <w:sz w:val="24"/>
          <w:szCs w:val="24"/>
        </w:rPr>
        <w:t xml:space="preserve"> FM </w:t>
      </w:r>
      <w:r w:rsidRPr="00CD414F" w:rsidR="00E92F3F">
        <w:rPr>
          <w:rFonts w:ascii="Arial" w:hAnsi="Arial" w:cs="Arial"/>
          <w:sz w:val="24"/>
          <w:szCs w:val="24"/>
        </w:rPr>
        <w:t>37</w:t>
      </w:r>
      <w:r w:rsidRPr="00CD414F" w:rsidR="00AB0A23">
        <w:rPr>
          <w:rFonts w:ascii="Arial" w:hAnsi="Arial" w:cs="Arial"/>
          <w:sz w:val="24"/>
          <w:szCs w:val="24"/>
        </w:rPr>
        <w:t>16</w:t>
      </w:r>
      <w:r w:rsidRPr="00CD414F">
        <w:rPr>
          <w:rFonts w:ascii="Arial" w:hAnsi="Arial" w:cs="Arial"/>
          <w:sz w:val="24"/>
          <w:szCs w:val="24"/>
        </w:rPr>
        <w:t xml:space="preserve">, </w:t>
      </w:r>
      <w:r w:rsidR="005F6E3C">
        <w:rPr>
          <w:rFonts w:ascii="Arial" w:hAnsi="Arial" w:cs="Arial"/>
          <w:sz w:val="24"/>
          <w:szCs w:val="24"/>
        </w:rPr>
        <w:br/>
      </w:r>
      <w:r w:rsidRPr="00CD414F">
        <w:rPr>
          <w:rFonts w:ascii="Arial" w:hAnsi="Arial" w:cs="Arial"/>
          <w:sz w:val="24"/>
          <w:szCs w:val="24"/>
        </w:rPr>
        <w:t xml:space="preserve">v odboru </w:t>
      </w:r>
      <w:r w:rsidRPr="00CD414F" w:rsidR="0034109A">
        <w:rPr>
          <w:rFonts w:ascii="Arial" w:hAnsi="Arial" w:cs="Arial"/>
          <w:sz w:val="24"/>
          <w:szCs w:val="24"/>
        </w:rPr>
        <w:t>52</w:t>
      </w:r>
      <w:r w:rsidRPr="00CD414F">
        <w:rPr>
          <w:rFonts w:ascii="Arial" w:hAnsi="Arial" w:cs="Arial"/>
          <w:sz w:val="24"/>
          <w:szCs w:val="24"/>
        </w:rPr>
        <w:t xml:space="preserve"> – </w:t>
      </w:r>
      <w:r w:rsidRPr="00CD414F" w:rsidR="0034109A">
        <w:rPr>
          <w:rFonts w:ascii="Arial" w:hAnsi="Arial" w:cs="Arial"/>
          <w:sz w:val="24"/>
          <w:szCs w:val="24"/>
        </w:rPr>
        <w:t>Auditní orgán</w:t>
      </w:r>
      <w:r w:rsidRPr="00CD414F">
        <w:rPr>
          <w:rFonts w:ascii="Arial" w:hAnsi="Arial" w:cs="Arial"/>
          <w:sz w:val="24"/>
          <w:szCs w:val="24"/>
        </w:rPr>
        <w:t xml:space="preserve">, </w:t>
      </w:r>
      <w:r w:rsidRPr="00CD414F" w:rsidR="00266813">
        <w:rPr>
          <w:rFonts w:ascii="Arial" w:hAnsi="Arial" w:cs="Arial"/>
          <w:sz w:val="24"/>
          <w:szCs w:val="24"/>
        </w:rPr>
        <w:t xml:space="preserve">odd. </w:t>
      </w:r>
      <w:r w:rsidRPr="00CD414F" w:rsidR="0034109A">
        <w:rPr>
          <w:rFonts w:ascii="Arial" w:hAnsi="Arial" w:cs="Arial"/>
          <w:sz w:val="24"/>
          <w:szCs w:val="24"/>
        </w:rPr>
        <w:t>5211</w:t>
      </w:r>
      <w:r w:rsidRPr="00CD414F" w:rsidR="00F76EF8">
        <w:rPr>
          <w:rFonts w:ascii="Arial" w:hAnsi="Arial" w:cs="Arial"/>
          <w:sz w:val="24"/>
          <w:szCs w:val="24"/>
        </w:rPr>
        <w:t xml:space="preserve"> </w:t>
      </w:r>
      <w:r w:rsidRPr="00CD414F" w:rsidR="005238D1">
        <w:rPr>
          <w:rFonts w:ascii="Arial" w:hAnsi="Arial" w:cs="Arial"/>
          <w:sz w:val="24"/>
          <w:szCs w:val="24"/>
        </w:rPr>
        <w:t xml:space="preserve">– </w:t>
      </w:r>
      <w:r w:rsidRPr="00CD414F" w:rsidR="0034109A">
        <w:rPr>
          <w:rFonts w:ascii="Arial" w:hAnsi="Arial" w:cs="Arial"/>
          <w:sz w:val="24"/>
          <w:szCs w:val="24"/>
        </w:rPr>
        <w:t>Audit NPO</w:t>
      </w:r>
      <w:r w:rsidRPr="00CD414F">
        <w:rPr>
          <w:rFonts w:ascii="Arial" w:hAnsi="Arial" w:cs="Arial"/>
          <w:sz w:val="24"/>
          <w:szCs w:val="24"/>
        </w:rPr>
        <w:t>, v</w:t>
      </w:r>
      <w:r w:rsidRPr="00CD414F" w:rsidR="00FB77A3">
        <w:rPr>
          <w:rFonts w:ascii="Arial" w:hAnsi="Arial" w:cs="Arial"/>
          <w:sz w:val="24"/>
          <w:szCs w:val="24"/>
        </w:rPr>
        <w:t> </w:t>
      </w:r>
      <w:r w:rsidRPr="00CD414F" w:rsidR="00C03113">
        <w:rPr>
          <w:rFonts w:ascii="Arial" w:hAnsi="Arial" w:cs="Arial"/>
          <w:sz w:val="24"/>
          <w:szCs w:val="24"/>
        </w:rPr>
        <w:t>obor</w:t>
      </w:r>
      <w:r w:rsidRPr="00CD414F" w:rsidR="0034109A">
        <w:rPr>
          <w:rFonts w:ascii="Arial" w:hAnsi="Arial" w:cs="Arial"/>
          <w:sz w:val="24"/>
          <w:szCs w:val="24"/>
        </w:rPr>
        <w:t>u</w:t>
      </w:r>
      <w:r w:rsidRPr="00CD414F">
        <w:rPr>
          <w:rFonts w:ascii="Arial" w:hAnsi="Arial" w:cs="Arial"/>
          <w:sz w:val="24"/>
          <w:szCs w:val="24"/>
        </w:rPr>
        <w:t xml:space="preserve"> služby:</w:t>
      </w:r>
    </w:p>
    <w:p w:rsidR="00632D5C" w:rsidRPr="00CD414F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414F">
        <w:rPr>
          <w:rFonts w:ascii="Arial" w:hAnsi="Arial" w:cs="Arial"/>
          <w:b/>
          <w:sz w:val="24"/>
          <w:szCs w:val="24"/>
        </w:rPr>
        <w:t>3</w:t>
      </w:r>
      <w:r w:rsidRPr="00CD414F" w:rsidR="003158EF">
        <w:rPr>
          <w:rFonts w:ascii="Arial" w:hAnsi="Arial" w:cs="Arial"/>
          <w:b/>
          <w:sz w:val="24"/>
          <w:szCs w:val="24"/>
        </w:rPr>
        <w:t>.</w:t>
      </w:r>
      <w:r w:rsidRPr="00CD414F">
        <w:rPr>
          <w:rFonts w:ascii="Arial" w:hAnsi="Arial" w:cs="Arial"/>
          <w:b/>
          <w:sz w:val="24"/>
          <w:szCs w:val="24"/>
        </w:rPr>
        <w:t xml:space="preserve"> </w:t>
      </w:r>
      <w:r w:rsidRPr="00CD414F">
        <w:rPr>
          <w:rFonts w:ascii="Arial" w:hAnsi="Arial" w:cs="Arial"/>
          <w:b/>
          <w:sz w:val="24"/>
          <w:szCs w:val="24"/>
        </w:rPr>
        <w:t>Audit</w:t>
      </w:r>
    </w:p>
    <w:p w:rsidR="00632D5C" w:rsidRPr="00CD414F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D414F">
        <w:rPr>
          <w:rFonts w:ascii="Arial" w:hAnsi="Arial" w:cs="Arial"/>
          <w:sz w:val="24"/>
          <w:szCs w:val="24"/>
        </w:rPr>
        <w:t xml:space="preserve">se služebním působištěm </w:t>
      </w:r>
      <w:r w:rsidRPr="00CD414F">
        <w:rPr>
          <w:rFonts w:ascii="Arial" w:hAnsi="Arial" w:cs="Arial"/>
          <w:b/>
          <w:sz w:val="24"/>
          <w:szCs w:val="24"/>
        </w:rPr>
        <w:t>Praha</w:t>
      </w:r>
      <w:r w:rsidRPr="00CD414F">
        <w:rPr>
          <w:rFonts w:ascii="Arial" w:hAnsi="Arial" w:cs="Arial"/>
          <w:sz w:val="24"/>
          <w:szCs w:val="24"/>
        </w:rPr>
        <w:t>.</w:t>
      </w:r>
    </w:p>
    <w:p w:rsidR="001C5671" w:rsidRPr="00CD414F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D414F">
        <w:rPr>
          <w:rFonts w:ascii="Arial" w:hAnsi="Arial" w:cs="Arial"/>
          <w:b/>
          <w:sz w:val="24"/>
          <w:szCs w:val="24"/>
        </w:rPr>
        <w:t>Služba</w:t>
      </w:r>
      <w:r w:rsidRPr="00CD414F">
        <w:rPr>
          <w:rFonts w:ascii="Arial" w:hAnsi="Arial" w:cs="Arial"/>
          <w:sz w:val="24"/>
          <w:szCs w:val="24"/>
        </w:rPr>
        <w:t xml:space="preserve"> na tomto služebním místě bude vykonávána ve služebním poměru </w:t>
      </w:r>
      <w:r w:rsidRPr="00CD414F">
        <w:rPr>
          <w:rFonts w:ascii="Arial" w:hAnsi="Arial" w:cs="Arial"/>
          <w:b/>
          <w:sz w:val="24"/>
          <w:szCs w:val="24"/>
        </w:rPr>
        <w:t xml:space="preserve">na dobu </w:t>
      </w:r>
      <w:r w:rsidRPr="00CD414F" w:rsidR="00C03113">
        <w:rPr>
          <w:rFonts w:ascii="Arial" w:hAnsi="Arial" w:cs="Arial"/>
          <w:b/>
          <w:sz w:val="24"/>
          <w:szCs w:val="24"/>
        </w:rPr>
        <w:t>určitou</w:t>
      </w:r>
      <w:r w:rsidRPr="00CD414F" w:rsidR="0034109A">
        <w:rPr>
          <w:rFonts w:ascii="Arial" w:hAnsi="Arial" w:cs="Arial"/>
          <w:b/>
          <w:sz w:val="24"/>
          <w:szCs w:val="24"/>
        </w:rPr>
        <w:t xml:space="preserve"> do 31. </w:t>
      </w:r>
      <w:r w:rsidR="000A6331">
        <w:rPr>
          <w:rFonts w:ascii="Arial" w:hAnsi="Arial" w:cs="Arial"/>
          <w:b/>
          <w:sz w:val="24"/>
          <w:szCs w:val="24"/>
        </w:rPr>
        <w:t>prosince</w:t>
      </w:r>
      <w:r w:rsidRPr="00CD414F" w:rsidR="0034109A">
        <w:rPr>
          <w:rFonts w:ascii="Arial" w:hAnsi="Arial" w:cs="Arial"/>
          <w:b/>
          <w:sz w:val="24"/>
          <w:szCs w:val="24"/>
        </w:rPr>
        <w:t xml:space="preserve"> 2026</w:t>
      </w:r>
      <w:r w:rsidRPr="00CD414F" w:rsidR="00C03113">
        <w:rPr>
          <w:rFonts w:ascii="Arial" w:hAnsi="Arial" w:cs="Arial"/>
          <w:sz w:val="24"/>
          <w:szCs w:val="24"/>
        </w:rPr>
        <w:t>.</w:t>
      </w:r>
      <w:r w:rsidRPr="00CD414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632D5C" w:rsidRPr="00CD414F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D414F">
        <w:rPr>
          <w:rFonts w:ascii="Arial" w:hAnsi="Arial" w:cs="Arial"/>
          <w:sz w:val="24"/>
          <w:szCs w:val="24"/>
        </w:rPr>
        <w:t>Předpokládaný termín nástupu do s</w:t>
      </w:r>
      <w:r w:rsidRPr="00CD414F" w:rsidR="00CD414F">
        <w:rPr>
          <w:rFonts w:ascii="Arial" w:hAnsi="Arial" w:cs="Arial"/>
          <w:sz w:val="24"/>
          <w:szCs w:val="24"/>
        </w:rPr>
        <w:t xml:space="preserve">lužby na toto služební místo je </w:t>
      </w:r>
      <w:r w:rsidRPr="00CD414F" w:rsidR="00CD414F">
        <w:rPr>
          <w:rFonts w:ascii="Arial" w:hAnsi="Arial" w:cs="Arial"/>
          <w:b/>
          <w:sz w:val="24"/>
          <w:szCs w:val="24"/>
        </w:rPr>
        <w:t>září</w:t>
      </w:r>
      <w:r w:rsidRPr="00CD414F" w:rsidR="00AC6180">
        <w:rPr>
          <w:rFonts w:ascii="Arial" w:hAnsi="Arial" w:cs="Arial"/>
          <w:b/>
          <w:sz w:val="24"/>
          <w:szCs w:val="24"/>
        </w:rPr>
        <w:t xml:space="preserve"> 20</w:t>
      </w:r>
      <w:r w:rsidRPr="00CD414F" w:rsidR="005238D1">
        <w:rPr>
          <w:rFonts w:ascii="Arial" w:hAnsi="Arial" w:cs="Arial"/>
          <w:b/>
          <w:sz w:val="24"/>
          <w:szCs w:val="24"/>
        </w:rPr>
        <w:t>2</w:t>
      </w:r>
      <w:r w:rsidRPr="00CD414F" w:rsidR="0034109A">
        <w:rPr>
          <w:rFonts w:ascii="Arial" w:hAnsi="Arial" w:cs="Arial"/>
          <w:b/>
          <w:sz w:val="24"/>
          <w:szCs w:val="24"/>
        </w:rPr>
        <w:t>2</w:t>
      </w:r>
      <w:r w:rsidRPr="00CD414F">
        <w:rPr>
          <w:rFonts w:ascii="Arial" w:hAnsi="Arial" w:cs="Arial"/>
          <w:sz w:val="24"/>
          <w:szCs w:val="24"/>
        </w:rPr>
        <w:t>.</w:t>
      </w:r>
    </w:p>
    <w:p w:rsidR="00632D5C" w:rsidRPr="00CD414F" w:rsidP="007A39F7">
      <w:pPr>
        <w:spacing w:before="24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414F">
        <w:rPr>
          <w:rFonts w:ascii="Arial" w:hAnsi="Arial" w:cs="Arial"/>
          <w:sz w:val="24"/>
          <w:szCs w:val="24"/>
        </w:rPr>
        <w:t xml:space="preserve">Služební místo je zařazeno do </w:t>
      </w:r>
      <w:r w:rsidRPr="00CD414F" w:rsidR="00C03113">
        <w:rPr>
          <w:rFonts w:ascii="Arial" w:hAnsi="Arial" w:cs="Arial"/>
          <w:b/>
          <w:sz w:val="24"/>
          <w:szCs w:val="24"/>
        </w:rPr>
        <w:t>14</w:t>
      </w:r>
      <w:r w:rsidRPr="00CD414F" w:rsidR="0099151C">
        <w:rPr>
          <w:rFonts w:ascii="Arial" w:hAnsi="Arial" w:cs="Arial"/>
          <w:b/>
          <w:sz w:val="24"/>
          <w:szCs w:val="24"/>
        </w:rPr>
        <w:t>.</w:t>
      </w:r>
      <w:r w:rsidRPr="00CD414F">
        <w:rPr>
          <w:rFonts w:ascii="Arial" w:hAnsi="Arial" w:cs="Arial"/>
          <w:b/>
          <w:sz w:val="24"/>
          <w:szCs w:val="24"/>
        </w:rPr>
        <w:t xml:space="preserve"> platové třídy</w:t>
      </w:r>
      <w:r w:rsidRPr="00CD414F">
        <w:rPr>
          <w:rFonts w:ascii="Arial" w:hAnsi="Arial" w:cs="Arial"/>
          <w:sz w:val="24"/>
          <w:szCs w:val="24"/>
        </w:rPr>
        <w:t>.</w:t>
      </w:r>
    </w:p>
    <w:p w:rsidR="00D47006" w:rsidRPr="00CD414F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D414F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CD414F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632D5C" w:rsidRPr="00CD414F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414F">
        <w:rPr>
          <w:rFonts w:ascii="Arial" w:hAnsi="Arial" w:cs="Arial"/>
          <w:b/>
          <w:sz w:val="24"/>
          <w:szCs w:val="24"/>
        </w:rPr>
        <w:t>Náplň činností:</w:t>
      </w:r>
    </w:p>
    <w:p w:rsidR="004D386B" w:rsidRPr="006C2B07" w:rsidP="00C40E44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C2B07">
        <w:rPr>
          <w:rFonts w:ascii="Arial" w:eastAsia="Arial Unicode MS" w:hAnsi="Arial" w:cs="Arial"/>
          <w:sz w:val="24"/>
          <w:szCs w:val="24"/>
        </w:rPr>
        <w:t>zpracovávání koncepce systému auditů pro finanční prostředky poskytované v rámci Nástroje pro oživení a odolnost, zejména programu „Národní plán obnovy“ (dále jen NPO)</w:t>
      </w:r>
      <w:r w:rsidRPr="006C2B07">
        <w:rPr>
          <w:rFonts w:ascii="Arial" w:hAnsi="Arial" w:cs="Arial"/>
          <w:sz w:val="24"/>
          <w:szCs w:val="24"/>
        </w:rPr>
        <w:t>;</w:t>
      </w:r>
    </w:p>
    <w:p w:rsidR="00B85816" w:rsidRPr="006C2B07" w:rsidP="00C40E44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C2B07">
        <w:rPr>
          <w:rFonts w:ascii="Arial" w:eastAsia="Arial Unicode MS" w:hAnsi="Arial" w:cs="Arial"/>
          <w:sz w:val="24"/>
          <w:szCs w:val="24"/>
        </w:rPr>
        <w:t>nastavování metodických postupů pro výkon auditů systému a testování věcné správnosti vykázaných milníků a cílů v rámci implementace NPO se zohledněním mezinárodně uznávaných auditorských standardů</w:t>
      </w:r>
      <w:r w:rsidRPr="006C2B07">
        <w:rPr>
          <w:rFonts w:ascii="Arial" w:hAnsi="Arial" w:cs="Arial"/>
          <w:sz w:val="24"/>
          <w:szCs w:val="24"/>
        </w:rPr>
        <w:t>;</w:t>
      </w:r>
    </w:p>
    <w:p w:rsidR="006C2B07" w:rsidRPr="006C2B07" w:rsidP="00C40E44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C2B07">
        <w:rPr>
          <w:rFonts w:ascii="Arial" w:eastAsia="Arial Unicode MS" w:hAnsi="Arial" w:cs="Arial"/>
          <w:sz w:val="24"/>
          <w:szCs w:val="24"/>
        </w:rPr>
        <w:t xml:space="preserve">výkon auditů systému, projektů a testování věcné správnosti vykazovaných cílů </w:t>
      </w:r>
      <w:r>
        <w:rPr>
          <w:rFonts w:ascii="Arial" w:eastAsia="Arial Unicode MS" w:hAnsi="Arial" w:cs="Arial"/>
          <w:sz w:val="24"/>
          <w:szCs w:val="24"/>
        </w:rPr>
        <w:br/>
      </w:r>
      <w:r w:rsidRPr="006C2B07">
        <w:rPr>
          <w:rFonts w:ascii="Arial" w:eastAsia="Arial Unicode MS" w:hAnsi="Arial" w:cs="Arial"/>
          <w:sz w:val="24"/>
          <w:szCs w:val="24"/>
        </w:rPr>
        <w:t>a milníků NPO deklarovaných v žádostech o platbu do EK a s tím souvisejících činností</w:t>
      </w:r>
      <w:r w:rsidRPr="006C2B07">
        <w:rPr>
          <w:rFonts w:ascii="Arial" w:hAnsi="Arial" w:cs="Arial"/>
          <w:sz w:val="24"/>
          <w:szCs w:val="24"/>
        </w:rPr>
        <w:t>;</w:t>
      </w:r>
    </w:p>
    <w:p w:rsidR="006C2B07" w:rsidRPr="006C2B07" w:rsidP="00C40E44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C2B07">
        <w:rPr>
          <w:rFonts w:ascii="Arial" w:eastAsia="Arial Unicode MS" w:hAnsi="Arial" w:cs="Arial"/>
          <w:sz w:val="24"/>
          <w:szCs w:val="24"/>
        </w:rPr>
        <w:t>koordinace, ověřování, agregace a reporting výstupů z auditních činností včetně provádění analýzy rizik</w:t>
      </w:r>
      <w:r w:rsidRPr="006C2B07">
        <w:rPr>
          <w:rFonts w:ascii="Arial" w:hAnsi="Arial" w:cs="Arial"/>
          <w:sz w:val="24"/>
          <w:szCs w:val="24"/>
        </w:rPr>
        <w:t>;</w:t>
      </w:r>
    </w:p>
    <w:p w:rsidR="00B85816" w:rsidRPr="006C2B07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C2B07">
        <w:rPr>
          <w:rFonts w:ascii="Arial" w:eastAsia="Arial Unicode MS" w:hAnsi="Arial" w:cs="Arial"/>
          <w:sz w:val="24"/>
          <w:szCs w:val="24"/>
        </w:rPr>
        <w:t>zpracová</w:t>
      </w:r>
      <w:r>
        <w:rPr>
          <w:rFonts w:ascii="Arial" w:eastAsia="Arial Unicode MS" w:hAnsi="Arial" w:cs="Arial"/>
          <w:sz w:val="24"/>
          <w:szCs w:val="24"/>
        </w:rPr>
        <w:t>vá</w:t>
      </w:r>
      <w:r w:rsidRPr="006C2B07">
        <w:rPr>
          <w:rFonts w:ascii="Arial" w:eastAsia="Arial Unicode MS" w:hAnsi="Arial" w:cs="Arial"/>
          <w:sz w:val="24"/>
          <w:szCs w:val="24"/>
        </w:rPr>
        <w:t>ní a aktualizace auditní strategie a monitoring jejího naplňování, účast na jednáních s EK, zahraničními orgány a organizacemi při projednávání metodických otázek finanční kontroly a auditu v oblasti hospodaření s finančními prostředky EU, účast na auditních misích EK a EÚD</w:t>
      </w:r>
      <w:r w:rsidRPr="006C2B07">
        <w:rPr>
          <w:rFonts w:ascii="Arial" w:hAnsi="Arial" w:cs="Arial"/>
          <w:sz w:val="24"/>
          <w:szCs w:val="24"/>
        </w:rPr>
        <w:t>;</w:t>
      </w:r>
    </w:p>
    <w:p w:rsidR="006C2B07" w:rsidRPr="006C2B07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C2B07">
        <w:rPr>
          <w:rFonts w:ascii="Arial" w:eastAsia="Arial Unicode MS" w:hAnsi="Arial" w:cs="Arial"/>
          <w:sz w:val="24"/>
          <w:szCs w:val="24"/>
        </w:rPr>
        <w:t>účast na odborných pracovních skupinách a podílení se na přípravě odborných stanovisek a oponentních stanovisek k návrhům metodických dokumentů, právních předpisů a ostatních pracovních dokumentů</w:t>
      </w:r>
      <w:r w:rsidRPr="006C2B07">
        <w:rPr>
          <w:rFonts w:ascii="Arial" w:hAnsi="Arial" w:cs="Arial"/>
          <w:sz w:val="24"/>
          <w:szCs w:val="24"/>
        </w:rPr>
        <w:t>;</w:t>
      </w:r>
    </w:p>
    <w:p w:rsidR="006C2B07" w:rsidRPr="006C2B07" w:rsidP="004D386B">
      <w:pPr>
        <w:numPr>
          <w:ilvl w:val="0"/>
          <w:numId w:val="23"/>
        </w:numPr>
        <w:tabs>
          <w:tab w:val="clear" w:pos="720"/>
        </w:tabs>
        <w:spacing w:before="24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6C2B07">
        <w:rPr>
          <w:rFonts w:ascii="Arial" w:eastAsia="Arial Unicode MS" w:hAnsi="Arial" w:cs="Arial"/>
          <w:sz w:val="24"/>
          <w:szCs w:val="24"/>
        </w:rPr>
        <w:t>konzultační a školící činnost.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Posuzovány budou </w:t>
      </w:r>
      <w:r w:rsidRPr="0004059E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="00540501">
        <w:rPr>
          <w:rFonts w:ascii="Arial" w:hAnsi="Arial" w:cs="Arial"/>
          <w:b/>
        </w:rPr>
        <w:t xml:space="preserve"> </w:t>
      </w:r>
      <w:r w:rsidRPr="0004059E">
        <w:rPr>
          <w:rFonts w:ascii="Arial" w:hAnsi="Arial" w:cs="Arial"/>
          <w:b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04059E">
        <w:rPr>
          <w:rFonts w:ascii="Arial" w:hAnsi="Arial" w:cs="Arial"/>
          <w:b/>
          <w:sz w:val="24"/>
          <w:szCs w:val="24"/>
        </w:rPr>
        <w:t xml:space="preserve"> podané ve lhůtě</w:t>
      </w:r>
      <w:r w:rsidRPr="0004059E" w:rsidR="00532762">
        <w:rPr>
          <w:rFonts w:ascii="Arial" w:hAnsi="Arial" w:cs="Arial"/>
          <w:b/>
          <w:sz w:val="24"/>
          <w:szCs w:val="24"/>
        </w:rPr>
        <w:t xml:space="preserve"> </w:t>
      </w:r>
      <w:r w:rsidRPr="00CD414F" w:rsidR="00CD0B33">
        <w:rPr>
          <w:rFonts w:ascii="Arial" w:hAnsi="Arial" w:cs="Arial"/>
          <w:b/>
          <w:sz w:val="24"/>
          <w:szCs w:val="24"/>
        </w:rPr>
        <w:t>do</w:t>
      </w:r>
      <w:r w:rsidR="002A76F9">
        <w:rPr>
          <w:rFonts w:ascii="Arial" w:hAnsi="Arial" w:cs="Arial"/>
          <w:b/>
          <w:sz w:val="24"/>
          <w:szCs w:val="24"/>
        </w:rPr>
        <w:t xml:space="preserve"> 4. července </w:t>
      </w:r>
      <w:bookmarkStart w:id="0" w:name="_GoBack"/>
      <w:bookmarkEnd w:id="0"/>
      <w:r w:rsidRPr="00CD414F" w:rsidR="00797B17">
        <w:rPr>
          <w:rFonts w:ascii="Arial" w:hAnsi="Arial" w:cs="Arial"/>
          <w:b/>
          <w:sz w:val="24"/>
          <w:szCs w:val="24"/>
        </w:rPr>
        <w:t>20</w:t>
      </w:r>
      <w:r w:rsidRPr="00CD414F" w:rsidR="0019785B">
        <w:rPr>
          <w:rFonts w:ascii="Arial" w:hAnsi="Arial" w:cs="Arial"/>
          <w:b/>
          <w:sz w:val="24"/>
          <w:szCs w:val="24"/>
        </w:rPr>
        <w:t>2</w:t>
      </w:r>
      <w:r w:rsidRPr="00CD414F" w:rsidR="0034109A">
        <w:rPr>
          <w:rFonts w:ascii="Arial" w:hAnsi="Arial" w:cs="Arial"/>
          <w:b/>
          <w:sz w:val="24"/>
          <w:szCs w:val="24"/>
        </w:rPr>
        <w:t>2</w:t>
      </w:r>
      <w:r w:rsidRPr="00CD414F">
        <w:rPr>
          <w:rFonts w:ascii="Arial" w:hAnsi="Arial" w:cs="Arial"/>
          <w:sz w:val="24"/>
          <w:szCs w:val="24"/>
        </w:rPr>
        <w:t xml:space="preserve">, tj. </w:t>
      </w:r>
      <w:r w:rsidRPr="0004059E">
        <w:rPr>
          <w:rFonts w:ascii="Arial" w:hAnsi="Arial" w:cs="Arial"/>
          <w:sz w:val="24"/>
          <w:szCs w:val="24"/>
        </w:rPr>
        <w:t xml:space="preserve">v této lhůtě zaslané státnímu tajemníkovi </w:t>
      </w:r>
      <w:r w:rsidRPr="0004059E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04059E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Pr="0004059E" w:rsidR="00AC3A9E">
        <w:rPr>
          <w:rFonts w:ascii="Arial" w:hAnsi="Arial" w:cs="Arial"/>
          <w:sz w:val="24"/>
          <w:szCs w:val="24"/>
        </w:rPr>
        <w:t>118 10 Praha</w:t>
      </w:r>
      <w:r w:rsidRPr="0004059E">
        <w:rPr>
          <w:rFonts w:ascii="Arial" w:hAnsi="Arial" w:cs="Arial"/>
          <w:sz w:val="24"/>
          <w:szCs w:val="24"/>
        </w:rPr>
        <w:t xml:space="preserve"> 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xzeaauv).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Obálka, resp. datová zpráva, </w:t>
      </w:r>
      <w:r w:rsidRPr="00CE3EA6">
        <w:rPr>
          <w:rFonts w:ascii="Arial" w:hAnsi="Arial" w:cs="Arial"/>
          <w:sz w:val="24"/>
          <w:szCs w:val="24"/>
        </w:rPr>
        <w:t xml:space="preserve">obsahující žádost včetně požadovaných listin (příloh) musí být označena slovy: </w:t>
      </w:r>
      <w:r w:rsidRPr="00CE3EA6">
        <w:rPr>
          <w:rFonts w:ascii="Arial" w:hAnsi="Arial" w:cs="Arial"/>
          <w:b/>
          <w:sz w:val="24"/>
          <w:szCs w:val="24"/>
        </w:rPr>
        <w:t>„Neotvírat“</w:t>
      </w:r>
      <w:r w:rsidRPr="00CE3EA6">
        <w:rPr>
          <w:rFonts w:ascii="Arial" w:hAnsi="Arial" w:cs="Arial"/>
          <w:sz w:val="24"/>
          <w:szCs w:val="24"/>
        </w:rPr>
        <w:t xml:space="preserve"> a slovy </w:t>
      </w:r>
      <w:r w:rsidRPr="00CE3EA6">
        <w:rPr>
          <w:rFonts w:ascii="Arial" w:hAnsi="Arial" w:cs="Arial"/>
          <w:b/>
          <w:sz w:val="24"/>
          <w:szCs w:val="24"/>
        </w:rPr>
        <w:t xml:space="preserve">„Výběrové řízení na služební </w:t>
      </w:r>
      <w:r w:rsidRPr="00CE3EA6" w:rsidR="00CE3EA6">
        <w:rPr>
          <w:rFonts w:ascii="Arial" w:hAnsi="Arial" w:cs="Arial"/>
          <w:b/>
          <w:sz w:val="24"/>
          <w:szCs w:val="24"/>
        </w:rPr>
        <w:br/>
      </w:r>
      <w:r w:rsidRPr="00CE3EA6">
        <w:rPr>
          <w:rFonts w:ascii="Arial" w:hAnsi="Arial" w:cs="Arial"/>
          <w:b/>
          <w:sz w:val="24"/>
          <w:szCs w:val="24"/>
        </w:rPr>
        <w:t xml:space="preserve">místo </w:t>
      </w:r>
      <w:r w:rsidRPr="00CE3EA6" w:rsidR="005238D1">
        <w:rPr>
          <w:rFonts w:ascii="Arial" w:hAnsi="Arial" w:cs="Arial"/>
          <w:b/>
          <w:sz w:val="24"/>
          <w:szCs w:val="24"/>
        </w:rPr>
        <w:t>vrchní ministerský rada</w:t>
      </w:r>
      <w:r w:rsidR="0034109A">
        <w:rPr>
          <w:rFonts w:ascii="Arial" w:hAnsi="Arial" w:cs="Arial"/>
          <w:b/>
          <w:sz w:val="24"/>
          <w:szCs w:val="24"/>
        </w:rPr>
        <w:t xml:space="preserve"> – auditor/auditorka</w:t>
      </w:r>
      <w:r w:rsidR="000A6331">
        <w:rPr>
          <w:rFonts w:ascii="Arial" w:hAnsi="Arial" w:cs="Arial"/>
          <w:b/>
          <w:sz w:val="24"/>
          <w:szCs w:val="24"/>
        </w:rPr>
        <w:t>,</w:t>
      </w:r>
      <w:r w:rsidRPr="00CE3EA6">
        <w:rPr>
          <w:rFonts w:ascii="Arial" w:hAnsi="Arial" w:cs="Arial"/>
          <w:b/>
          <w:sz w:val="24"/>
          <w:szCs w:val="24"/>
        </w:rPr>
        <w:t xml:space="preserve"> FM </w:t>
      </w:r>
      <w:r w:rsidR="00E92F3F">
        <w:rPr>
          <w:rFonts w:ascii="Arial" w:hAnsi="Arial" w:cs="Arial"/>
          <w:b/>
          <w:sz w:val="24"/>
          <w:szCs w:val="24"/>
        </w:rPr>
        <w:t>37</w:t>
      </w:r>
      <w:r w:rsidR="00AB0A23">
        <w:rPr>
          <w:rFonts w:ascii="Arial" w:hAnsi="Arial" w:cs="Arial"/>
          <w:b/>
          <w:sz w:val="24"/>
          <w:szCs w:val="24"/>
        </w:rPr>
        <w:t>16</w:t>
      </w:r>
      <w:r w:rsidRPr="00CE3EA6">
        <w:rPr>
          <w:rFonts w:ascii="Arial" w:hAnsi="Arial" w:cs="Arial"/>
          <w:b/>
          <w:sz w:val="24"/>
          <w:szCs w:val="24"/>
        </w:rPr>
        <w:t xml:space="preserve">, v odboru </w:t>
      </w:r>
      <w:r w:rsidR="0034109A">
        <w:rPr>
          <w:rFonts w:ascii="Arial" w:hAnsi="Arial" w:cs="Arial"/>
          <w:b/>
          <w:sz w:val="24"/>
          <w:szCs w:val="24"/>
        </w:rPr>
        <w:br/>
        <w:t>52</w:t>
      </w:r>
      <w:r w:rsidRPr="00CE3EA6" w:rsidR="00C325B9">
        <w:rPr>
          <w:rFonts w:ascii="Arial" w:hAnsi="Arial" w:cs="Arial"/>
          <w:b/>
          <w:sz w:val="24"/>
          <w:szCs w:val="24"/>
        </w:rPr>
        <w:t xml:space="preserve"> – </w:t>
      </w:r>
      <w:r w:rsidR="0034109A">
        <w:rPr>
          <w:rFonts w:ascii="Arial" w:hAnsi="Arial" w:cs="Arial"/>
          <w:b/>
          <w:sz w:val="24"/>
          <w:szCs w:val="24"/>
        </w:rPr>
        <w:t>Auditní orgán</w:t>
      </w:r>
      <w:r w:rsidRPr="00CE3EA6" w:rsidR="00037AF5">
        <w:rPr>
          <w:rFonts w:ascii="Arial" w:hAnsi="Arial" w:cs="Arial"/>
          <w:b/>
          <w:sz w:val="24"/>
          <w:szCs w:val="24"/>
        </w:rPr>
        <w:t xml:space="preserve">, odd. </w:t>
      </w:r>
      <w:r w:rsidR="0034109A">
        <w:rPr>
          <w:rFonts w:ascii="Arial" w:hAnsi="Arial" w:cs="Arial"/>
          <w:b/>
          <w:sz w:val="24"/>
          <w:szCs w:val="24"/>
        </w:rPr>
        <w:t>5211</w:t>
      </w:r>
      <w:r w:rsidRPr="00CE3EA6" w:rsidR="00C325B9">
        <w:rPr>
          <w:rFonts w:ascii="Arial" w:hAnsi="Arial" w:cs="Arial"/>
          <w:b/>
          <w:sz w:val="24"/>
          <w:szCs w:val="24"/>
        </w:rPr>
        <w:t xml:space="preserve"> – </w:t>
      </w:r>
      <w:r w:rsidR="0034109A">
        <w:rPr>
          <w:rFonts w:ascii="Arial" w:hAnsi="Arial" w:cs="Arial"/>
          <w:b/>
          <w:sz w:val="24"/>
          <w:szCs w:val="24"/>
        </w:rPr>
        <w:t>Audit NPO</w:t>
      </w:r>
      <w:r w:rsidRPr="00CE3EA6">
        <w:rPr>
          <w:rFonts w:ascii="Arial" w:hAnsi="Arial" w:cs="Arial"/>
          <w:b/>
          <w:sz w:val="24"/>
          <w:szCs w:val="24"/>
        </w:rPr>
        <w:t>“</w:t>
      </w:r>
      <w:r w:rsidRPr="00CE3EA6" w:rsidR="000F67BB">
        <w:rPr>
          <w:rFonts w:ascii="Arial" w:hAnsi="Arial" w:cs="Arial"/>
          <w:b/>
          <w:sz w:val="24"/>
          <w:szCs w:val="24"/>
        </w:rPr>
        <w:t>.</w:t>
      </w:r>
    </w:p>
    <w:p w:rsidR="00632D5C" w:rsidRPr="0004059E" w:rsidP="0004059E">
      <w:pPr>
        <w:pStyle w:val="Heading2"/>
        <w:spacing w:before="24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Výběrového řízení na výše uvedené služební místo se v souladu se zákonem o státní službě může zúčastnit žadatel, který:</w:t>
      </w:r>
    </w:p>
    <w:p w:rsidR="0054404E" w:rsidRPr="00CD414F" w:rsidP="00CD414F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414F">
        <w:rPr>
          <w:rFonts w:ascii="Arial" w:hAnsi="Arial" w:cs="Arial"/>
          <w:b/>
          <w:sz w:val="24"/>
          <w:szCs w:val="24"/>
        </w:rPr>
        <w:t>splňuje základní předpoklady stanovené zákonem o státní službě, tj.:</w:t>
      </w:r>
      <w:r w:rsidRPr="00CD414F">
        <w:rPr>
          <w:rFonts w:ascii="Arial" w:hAnsi="Arial" w:cs="Arial"/>
          <w:b/>
          <w:sz w:val="24"/>
          <w:szCs w:val="24"/>
        </w:rPr>
        <w:t xml:space="preserve"> </w:t>
      </w:r>
    </w:p>
    <w:p w:rsidR="0054404E" w:rsidRPr="004D5039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1DB0">
        <w:rPr>
          <w:rFonts w:ascii="Arial" w:hAnsi="Arial" w:cs="Arial"/>
          <w:b/>
          <w:sz w:val="24"/>
          <w:szCs w:val="24"/>
        </w:rPr>
        <w:t>je</w:t>
      </w:r>
      <w:r w:rsidRPr="004D5039">
        <w:rPr>
          <w:rFonts w:ascii="Arial" w:hAnsi="Arial" w:cs="Arial"/>
          <w:sz w:val="24"/>
          <w:szCs w:val="24"/>
        </w:rPr>
        <w:t xml:space="preserve"> </w:t>
      </w:r>
      <w:r w:rsidRPr="00613911">
        <w:rPr>
          <w:rFonts w:ascii="Arial" w:hAnsi="Arial" w:cs="Arial"/>
          <w:b/>
          <w:sz w:val="24"/>
          <w:szCs w:val="24"/>
        </w:rPr>
        <w:t>státním občanem České republiky, občanem jiného členského státu Evropské unie nebo občanem státu, který je smluvním státem Dohody</w:t>
      </w:r>
      <w:r w:rsidR="00613911">
        <w:rPr>
          <w:rFonts w:ascii="Arial" w:hAnsi="Arial" w:cs="Arial"/>
          <w:b/>
          <w:sz w:val="24"/>
          <w:szCs w:val="24"/>
        </w:rPr>
        <w:br/>
      </w:r>
      <w:r w:rsidRPr="00613911">
        <w:rPr>
          <w:rFonts w:ascii="Arial" w:hAnsi="Arial" w:cs="Arial"/>
          <w:b/>
          <w:sz w:val="24"/>
          <w:szCs w:val="24"/>
        </w:rPr>
        <w:t>o Evropském hospodářském prostoru</w:t>
      </w:r>
      <w:r w:rsidRPr="004D5039">
        <w:rPr>
          <w:rFonts w:ascii="Arial" w:hAnsi="Arial" w:cs="Arial"/>
          <w:sz w:val="24"/>
          <w:szCs w:val="24"/>
        </w:rPr>
        <w:t xml:space="preserve"> [§ 25 odst. 1 písm. a) 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4D5039">
        <w:rPr>
          <w:rFonts w:ascii="Arial" w:hAnsi="Arial" w:cs="Arial"/>
          <w:sz w:val="24"/>
          <w:szCs w:val="24"/>
        </w:rPr>
        <w:t>];</w:t>
      </w:r>
    </w:p>
    <w:p w:rsidR="0054404E" w:rsidRPr="0054404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4D5039" w:rsidR="004F06D9">
        <w:rPr>
          <w:rFonts w:ascii="Arial" w:hAnsi="Arial" w:cs="Arial"/>
          <w:sz w:val="24"/>
          <w:szCs w:val="24"/>
        </w:rPr>
        <w:t>zákona</w:t>
      </w:r>
      <w:r w:rsidR="004F06D9">
        <w:rPr>
          <w:rFonts w:ascii="Arial" w:hAnsi="Arial" w:cs="Arial"/>
          <w:sz w:val="24"/>
          <w:szCs w:val="24"/>
        </w:rPr>
        <w:t xml:space="preserve"> o státní službě</w:t>
      </w:r>
      <w:r w:rsidRPr="0054404E" w:rsidR="004F06D9">
        <w:rPr>
          <w:rFonts w:ascii="Arial" w:hAnsi="Arial" w:cs="Arial"/>
          <w:sz w:val="24"/>
          <w:szCs w:val="24"/>
        </w:rPr>
        <w:t xml:space="preserve"> </w:t>
      </w:r>
      <w:r w:rsidR="002E2D2C">
        <w:rPr>
          <w:rFonts w:ascii="Arial" w:hAnsi="Arial" w:cs="Arial"/>
          <w:sz w:val="24"/>
          <w:szCs w:val="24"/>
        </w:rPr>
        <w:t>doložit pouze </w:t>
      </w:r>
      <w:r w:rsidRPr="0054404E">
        <w:rPr>
          <w:rFonts w:ascii="Arial" w:hAnsi="Arial" w:cs="Arial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54404E">
        <w:rPr>
          <w:rFonts w:ascii="Arial" w:hAnsi="Arial" w:cs="Arial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CE3EA6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E3EA6">
        <w:rPr>
          <w:rFonts w:ascii="Arial" w:hAnsi="Arial" w:cs="Arial"/>
          <w:sz w:val="24"/>
          <w:szCs w:val="24"/>
        </w:rPr>
        <w:t>ž</w:t>
      </w:r>
      <w:r w:rsidRPr="00CE3EA6">
        <w:rPr>
          <w:rFonts w:ascii="Arial" w:hAnsi="Arial" w:cs="Arial"/>
          <w:sz w:val="24"/>
          <w:szCs w:val="24"/>
        </w:rPr>
        <w:t>adatel, který není státním občanem České republiky, musí zkouškou u osoby,</w:t>
      </w:r>
      <w:r w:rsidRPr="00CE3EA6" w:rsidR="004D5039">
        <w:rPr>
          <w:rFonts w:ascii="Arial" w:hAnsi="Arial" w:cs="Arial"/>
          <w:sz w:val="24"/>
          <w:szCs w:val="24"/>
        </w:rPr>
        <w:br/>
      </w:r>
      <w:r w:rsidRPr="00CE3EA6">
        <w:rPr>
          <w:rFonts w:ascii="Arial" w:hAnsi="Arial" w:cs="Arial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</w:t>
      </w:r>
      <w:r w:rsidRPr="00CE3EA6" w:rsidR="00BB0B80">
        <w:rPr>
          <w:rFonts w:ascii="Arial" w:hAnsi="Arial" w:cs="Arial"/>
          <w:sz w:val="24"/>
          <w:szCs w:val="24"/>
        </w:rPr>
        <w:t>u, na kterých byl </w:t>
      </w:r>
      <w:r w:rsidRPr="00CE3EA6">
        <w:rPr>
          <w:rFonts w:ascii="Arial" w:hAnsi="Arial" w:cs="Arial"/>
          <w:sz w:val="24"/>
          <w:szCs w:val="24"/>
        </w:rPr>
        <w:t>vyučovacím jazykem český jazyk</w:t>
      </w:r>
      <w:r w:rsidRPr="00CE3EA6" w:rsidR="00BB0B80">
        <w:rPr>
          <w:rFonts w:ascii="Arial" w:hAnsi="Arial" w:cs="Arial"/>
          <w:sz w:val="24"/>
          <w:szCs w:val="24"/>
        </w:rPr>
        <w:t>. Splnění tohoto předpokladu se </w:t>
      </w:r>
      <w:r w:rsidRPr="00CE3EA6">
        <w:rPr>
          <w:rFonts w:ascii="Arial" w:hAnsi="Arial" w:cs="Arial"/>
          <w:sz w:val="24"/>
          <w:szCs w:val="24"/>
        </w:rPr>
        <w:t>dokládá příslušnou listinou.</w:t>
      </w:r>
    </w:p>
    <w:p w:rsidR="004D5039" w:rsidRPr="004D5039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D5039">
        <w:rPr>
          <w:rFonts w:ascii="Arial" w:hAnsi="Arial" w:cs="Arial"/>
          <w:b/>
          <w:sz w:val="24"/>
          <w:szCs w:val="24"/>
        </w:rPr>
        <w:t>dosáhl věku 18 let</w:t>
      </w:r>
      <w:r w:rsidRPr="004D5039">
        <w:rPr>
          <w:rFonts w:ascii="Arial" w:hAnsi="Arial" w:cs="Arial"/>
          <w:sz w:val="24"/>
          <w:szCs w:val="24"/>
        </w:rPr>
        <w:t xml:space="preserve"> [ustanovení § 25 odst. 1 písm. b) zákona o státní službě];</w:t>
      </w:r>
    </w:p>
    <w:p w:rsidR="00632D5C" w:rsidRPr="0054404E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b/>
          <w:sz w:val="24"/>
          <w:szCs w:val="24"/>
        </w:rPr>
        <w:t>je plně svéprávný</w:t>
      </w:r>
      <w:r w:rsidRPr="0054404E">
        <w:rPr>
          <w:rFonts w:ascii="Arial" w:hAnsi="Arial" w:cs="Arial"/>
          <w:sz w:val="24"/>
          <w:szCs w:val="24"/>
        </w:rPr>
        <w:t xml:space="preserve"> [</w:t>
      </w:r>
      <w:r w:rsidRPr="0054404E" w:rsidR="00EC53BC">
        <w:rPr>
          <w:rFonts w:ascii="Arial" w:hAnsi="Arial" w:cs="Arial"/>
          <w:sz w:val="24"/>
          <w:szCs w:val="24"/>
        </w:rPr>
        <w:t xml:space="preserve">ustanovení </w:t>
      </w:r>
      <w:r w:rsidRPr="0054404E">
        <w:rPr>
          <w:rFonts w:ascii="Arial" w:hAnsi="Arial" w:cs="Arial"/>
          <w:sz w:val="24"/>
          <w:szCs w:val="24"/>
        </w:rPr>
        <w:t>§ 25 odst. 1 písm. c) zákona o státní službě];</w:t>
      </w:r>
    </w:p>
    <w:p w:rsidR="00632D5C" w:rsidRPr="0004059E" w:rsidP="0054404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4404E">
        <w:rPr>
          <w:rFonts w:ascii="Arial" w:hAnsi="Arial" w:cs="Arial"/>
          <w:sz w:val="24"/>
          <w:szCs w:val="24"/>
        </w:rPr>
        <w:t>s</w:t>
      </w:r>
      <w:r w:rsidRPr="0054404E">
        <w:rPr>
          <w:rFonts w:ascii="Arial" w:hAnsi="Arial" w:cs="Arial"/>
          <w:sz w:val="24"/>
          <w:szCs w:val="24"/>
        </w:rPr>
        <w:t>plnění tohoto předpokladu se podle</w:t>
      </w:r>
      <w:r w:rsidRPr="0054404E" w:rsidR="00EC53BC">
        <w:rPr>
          <w:rFonts w:ascii="Arial" w:hAnsi="Arial" w:cs="Arial"/>
          <w:sz w:val="24"/>
          <w:szCs w:val="24"/>
        </w:rPr>
        <w:t xml:space="preserve"> ustanovení</w:t>
      </w:r>
      <w:r w:rsidRPr="0054404E">
        <w:rPr>
          <w:rFonts w:ascii="Arial" w:hAnsi="Arial" w:cs="Arial"/>
          <w:sz w:val="24"/>
          <w:szCs w:val="24"/>
        </w:rPr>
        <w:t xml:space="preserve"> § 26 odst. 1 věta</w:t>
      </w:r>
      <w:r w:rsidRPr="0004059E">
        <w:rPr>
          <w:rFonts w:ascii="Arial" w:hAnsi="Arial" w:cs="Arial"/>
          <w:sz w:val="24"/>
          <w:szCs w:val="24"/>
        </w:rPr>
        <w:t xml:space="preserve"> šestá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 dokládá písemným čestným prohlášením;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je bezúhonný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 25 odst. 1 písm. d) zákona o státní službě];</w:t>
      </w:r>
    </w:p>
    <w:p w:rsidR="00464E2E" w:rsidRPr="0004059E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 w:rsidR="00632D5C">
        <w:rPr>
          <w:rFonts w:ascii="Arial" w:hAnsi="Arial" w:cs="Arial"/>
          <w:sz w:val="24"/>
          <w:szCs w:val="24"/>
        </w:rPr>
        <w:t xml:space="preserve">plnění tohoto předpokladu se 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632D5C">
        <w:rPr>
          <w:rFonts w:ascii="Arial" w:hAnsi="Arial" w:cs="Arial"/>
          <w:sz w:val="24"/>
          <w:szCs w:val="24"/>
        </w:rPr>
        <w:t>§ 26 odst. 1 věta druhá zákona</w:t>
      </w:r>
      <w:r w:rsidR="004D5039">
        <w:rPr>
          <w:rFonts w:ascii="Arial" w:hAnsi="Arial" w:cs="Arial"/>
          <w:sz w:val="24"/>
          <w:szCs w:val="24"/>
        </w:rPr>
        <w:br/>
      </w:r>
      <w:r w:rsidRPr="0004059E" w:rsidR="00632D5C">
        <w:rPr>
          <w:rFonts w:ascii="Arial" w:hAnsi="Arial" w:cs="Arial"/>
          <w:sz w:val="24"/>
          <w:szCs w:val="24"/>
        </w:rPr>
        <w:t xml:space="preserve">o státní </w:t>
      </w:r>
      <w:r w:rsidRPr="00CE3EA6" w:rsidR="00632D5C">
        <w:rPr>
          <w:rFonts w:ascii="Arial" w:hAnsi="Arial" w:cs="Arial"/>
          <w:sz w:val="24"/>
          <w:szCs w:val="24"/>
        </w:rPr>
        <w:t>službě dokládá výpisem z Rejstříku trestů, který nesmí být starší než</w:t>
      </w:r>
      <w:r w:rsidRPr="00CE3EA6" w:rsidR="002E2D2C">
        <w:rPr>
          <w:rFonts w:ascii="Arial" w:hAnsi="Arial" w:cs="Arial"/>
          <w:sz w:val="24"/>
          <w:szCs w:val="24"/>
        </w:rPr>
        <w:t> </w:t>
      </w:r>
      <w:r w:rsidRPr="00CE3EA6" w:rsidR="00632D5C">
        <w:rPr>
          <w:rFonts w:ascii="Arial" w:hAnsi="Arial" w:cs="Arial"/>
          <w:sz w:val="24"/>
          <w:szCs w:val="24"/>
        </w:rPr>
        <w:t>3</w:t>
      </w:r>
      <w:r w:rsidRPr="00CE3EA6" w:rsidR="002E2D2C">
        <w:rPr>
          <w:rFonts w:ascii="Arial" w:hAnsi="Arial" w:cs="Arial"/>
          <w:sz w:val="24"/>
          <w:szCs w:val="24"/>
        </w:rPr>
        <w:t> </w:t>
      </w:r>
      <w:r w:rsidRPr="00CE3EA6" w:rsidR="00632D5C">
        <w:rPr>
          <w:rFonts w:ascii="Arial" w:hAnsi="Arial" w:cs="Arial"/>
          <w:sz w:val="24"/>
          <w:szCs w:val="24"/>
        </w:rPr>
        <w:t>měsíce, resp. obdobným dokladem o bezúhonnosti, není-li žadatel státním občanem České republiky</w:t>
      </w:r>
      <w:r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CE3EA6" w:rsidR="00632D5C">
        <w:rPr>
          <w:rFonts w:ascii="Arial" w:hAnsi="Arial" w:cs="Arial"/>
          <w:sz w:val="24"/>
          <w:szCs w:val="24"/>
        </w:rPr>
        <w:t>;</w:t>
      </w:r>
      <w:r w:rsidRPr="00CE3EA6" w:rsidR="00D65FEA">
        <w:rPr>
          <w:rFonts w:ascii="Arial" w:hAnsi="Arial" w:cs="Arial"/>
          <w:sz w:val="24"/>
          <w:szCs w:val="24"/>
        </w:rPr>
        <w:t xml:space="preserve"> </w:t>
      </w:r>
    </w:p>
    <w:p w:rsidR="00072A5B" w:rsidRPr="00CE3EA6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E3EA6">
        <w:rPr>
          <w:rFonts w:ascii="Arial" w:hAnsi="Arial" w:cs="Arial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</w:t>
      </w:r>
      <w:r w:rsidRPr="00CE3EA6" w:rsidR="002E2D2C">
        <w:rPr>
          <w:rFonts w:ascii="Arial" w:hAnsi="Arial" w:cs="Arial"/>
          <w:sz w:val="24"/>
          <w:szCs w:val="24"/>
        </w:rPr>
        <w:t>íku trestů doložit, neboť si ho </w:t>
      </w:r>
      <w:r w:rsidRPr="00CE3EA6">
        <w:rPr>
          <w:rFonts w:ascii="Arial" w:hAnsi="Arial" w:cs="Arial"/>
          <w:sz w:val="24"/>
          <w:szCs w:val="24"/>
        </w:rPr>
        <w:t>služební orgán vyžádá na základě poskytnutých ú</w:t>
      </w:r>
      <w:r w:rsidRPr="00CE3EA6" w:rsidR="005725BE">
        <w:rPr>
          <w:rFonts w:ascii="Arial" w:hAnsi="Arial" w:cs="Arial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dosáhl </w:t>
      </w:r>
      <w:r w:rsidRPr="0004059E">
        <w:rPr>
          <w:rFonts w:ascii="Arial" w:hAnsi="Arial" w:cs="Arial"/>
          <w:b/>
          <w:sz w:val="24"/>
          <w:szCs w:val="24"/>
        </w:rPr>
        <w:t>vzdělání 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</w:t>
      </w:r>
      <w:r w:rsidR="002E2D2C">
        <w:rPr>
          <w:rFonts w:ascii="Arial" w:hAnsi="Arial" w:cs="Arial"/>
          <w:sz w:val="24"/>
          <w:szCs w:val="24"/>
        </w:rPr>
        <w:t xml:space="preserve"> 26 odst. 1 věta první zákona o </w:t>
      </w:r>
      <w:r w:rsidRPr="0004059E">
        <w:rPr>
          <w:rFonts w:ascii="Arial" w:hAnsi="Arial" w:cs="Arial"/>
          <w:sz w:val="24"/>
          <w:szCs w:val="24"/>
        </w:rPr>
        <w:t xml:space="preserve">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0A6331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554032" w:rsidRPr="00554032" w:rsidP="00554032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875C16" w:rsidRPr="00CE3EA6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CE3EA6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CE3EA6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CE3EA6">
        <w:rPr>
          <w:rFonts w:ascii="Arial" w:hAnsi="Arial" w:cs="Arial"/>
          <w:sz w:val="24"/>
          <w:szCs w:val="24"/>
        </w:rPr>
        <w:br/>
        <w:t>a kvalifikační předpoklady.</w:t>
      </w:r>
    </w:p>
    <w:p w:rsidR="00486086" w:rsidRPr="0004059E" w:rsidP="00CE3EA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D5C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Bližší informace poskytne:</w:t>
      </w:r>
    </w:p>
    <w:p w:rsidR="00632D5C" w:rsidRPr="00CD414F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414F">
        <w:rPr>
          <w:rFonts w:ascii="Arial" w:hAnsi="Arial" w:cs="Arial"/>
          <w:sz w:val="24"/>
          <w:szCs w:val="24"/>
        </w:rPr>
        <w:t>Mgr. Simona Švecová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"mailto:simona.svecova@mfcr.cz" </w:instrText>
      </w:r>
      <w:r>
        <w:fldChar w:fldCharType="separate"/>
      </w:r>
      <w:r w:rsidRPr="003E4BAA" w:rsidR="00CD414F">
        <w:rPr>
          <w:rStyle w:val="Hyperlink"/>
          <w:rFonts w:ascii="Arial" w:hAnsi="Arial" w:cs="Arial"/>
          <w:sz w:val="24"/>
          <w:szCs w:val="24"/>
        </w:rPr>
        <w:t>simona.svecova@mfcr.cz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</w:t>
      </w:r>
      <w:r w:rsidRPr="0004059E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1F094D">
      <w:headerReference w:type="default" r:id="rId5"/>
      <w:footerReference w:type="default" r:id="rId6"/>
      <w:pgSz w:w="11906" w:h="16838"/>
      <w:pgMar w:top="561" w:right="1417" w:bottom="1417" w:left="1417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A76F9">
      <w:rPr>
        <w:noProof/>
      </w:rPr>
      <w:t>1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0389D" w:rsidP="00276ED4">
      <w:pPr>
        <w:spacing w:after="0" w:line="240" w:lineRule="auto"/>
      </w:pPr>
      <w:r>
        <w:separator/>
      </w:r>
    </w:p>
  </w:footnote>
  <w:footnote w:type="continuationSeparator" w:id="1">
    <w:p w:rsidR="0040389D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</w:t>
      </w:r>
      <w:r w:rsidR="00CD414F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ADE6D09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3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0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2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6"/>
  </w:num>
  <w:num w:numId="9">
    <w:abstractNumId w:val="6"/>
  </w:num>
  <w:num w:numId="10">
    <w:abstractNumId w:val="7"/>
  </w:num>
  <w:num w:numId="11">
    <w:abstractNumId w:val="3"/>
  </w:num>
  <w:num w:numId="12">
    <w:abstractNumId w:val="24"/>
  </w:num>
  <w:num w:numId="13">
    <w:abstractNumId w:val="17"/>
  </w:num>
  <w:num w:numId="14">
    <w:abstractNumId w:val="20"/>
  </w:num>
  <w:num w:numId="15">
    <w:abstractNumId w:val="16"/>
  </w:num>
  <w:num w:numId="16">
    <w:abstractNumId w:val="23"/>
  </w:num>
  <w:num w:numId="17">
    <w:abstractNumId w:val="1"/>
  </w:num>
  <w:num w:numId="18">
    <w:abstractNumId w:val="18"/>
  </w:num>
  <w:num w:numId="19">
    <w:abstractNumId w:val="10"/>
  </w:num>
  <w:num w:numId="20">
    <w:abstractNumId w:val="13"/>
  </w:num>
  <w:num w:numId="21">
    <w:abstractNumId w:val="15"/>
  </w:num>
  <w:num w:numId="22">
    <w:abstractNumId w:val="11"/>
  </w:num>
  <w:num w:numId="23">
    <w:abstractNumId w:val="0"/>
  </w:num>
  <w:num w:numId="24">
    <w:abstractNumId w:val="28"/>
  </w:num>
  <w:num w:numId="25">
    <w:abstractNumId w:val="5"/>
  </w:num>
  <w:num w:numId="26">
    <w:abstractNumId w:val="14"/>
  </w:num>
  <w:num w:numId="27">
    <w:abstractNumId w:val="12"/>
  </w:num>
  <w:num w:numId="28">
    <w:abstractNumId w:val="21"/>
  </w:num>
  <w:num w:numId="29">
    <w:abstractNumId w:val="2"/>
  </w:num>
  <w:num w:numId="30">
    <w:abstractNumId w:val="19"/>
  </w:num>
  <w:num w:numId="31">
    <w:abstractNumId w:val="27"/>
  </w:num>
  <w:num w:numId="32">
    <w:abstractNumId w:val="8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138</TotalTime>
  <Pages>4</Pages>
  <Words>1074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75</cp:revision>
  <dcterms:created xsi:type="dcterms:W3CDTF">2019-02-11T13:11:00Z</dcterms:created>
</cp:coreProperties>
</file>