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AA3F0C" w:rsidP="001C6C0C">
      <w:pPr>
        <w:jc w:val="center"/>
        <w:rPr>
          <w:b/>
          <w:sz w:val="144"/>
        </w:rPr>
      </w:pPr>
      <w:r>
        <w:rPr>
          <w:b/>
          <w:sz w:val="144"/>
        </w:rPr>
        <w:t>z p r á v y</w:t>
      </w:r>
    </w:p>
    <w:p w:rsidR="00AA3F0C" w:rsidP="001C6C0C">
      <w:pPr>
        <w:rPr>
          <w:b/>
        </w:rPr>
      </w:pPr>
    </w:p>
    <w:p w:rsidR="00AA3F0C" w:rsidP="001C6C0C">
      <w:pPr>
        <w:rPr>
          <w:b/>
        </w:rPr>
      </w:pPr>
    </w:p>
    <w:p w:rsidR="00AA3F0C" w:rsidP="001C6C0C">
      <w:pPr>
        <w:rPr>
          <w:b/>
        </w:rPr>
      </w:pPr>
    </w:p>
    <w:p w:rsidR="00AA3F0C" w:rsidP="001C6C0C">
      <w:pPr>
        <w:jc w:val="center"/>
        <w:rPr>
          <w:b/>
          <w:sz w:val="36"/>
        </w:rPr>
      </w:pPr>
      <w:r>
        <w:rPr>
          <w:b/>
          <w:sz w:val="36"/>
        </w:rPr>
        <w:t>Ministerstva financí České republiky</w:t>
      </w:r>
    </w:p>
    <w:p w:rsidR="00AA3F0C" w:rsidP="001C6C0C">
      <w:pPr>
        <w:jc w:val="center"/>
        <w:rPr>
          <w:b/>
        </w:rPr>
      </w:pPr>
    </w:p>
    <w:p w:rsidR="00AA3F0C" w:rsidP="001C6C0C">
      <w:pPr>
        <w:jc w:val="center"/>
        <w:rPr>
          <w:b/>
          <w:sz w:val="32"/>
        </w:rPr>
      </w:pPr>
      <w:r>
        <w:rPr>
          <w:b/>
          <w:sz w:val="32"/>
        </w:rPr>
        <w:t>pro finanční orgány obcí a krajů</w:t>
      </w:r>
    </w:p>
    <w:p w:rsidR="00AA3F0C" w:rsidP="001C6C0C"/>
    <w:p w:rsidR="00AA3F0C" w:rsidP="001C6C0C">
      <w:r>
        <w:t xml:space="preserve">                                                                                                                       </w:t>
      </w:r>
    </w:p>
    <w:p w:rsidR="00AA3F0C" w:rsidP="001C6C0C">
      <w:pPr>
        <w:jc w:val="right"/>
        <w:rPr>
          <w:b/>
          <w:bCs/>
          <w:sz w:val="20"/>
        </w:rPr>
      </w:pPr>
      <w:r>
        <w:tab/>
      </w:r>
      <w:r>
        <w:tab/>
      </w:r>
      <w:r>
        <w:tab/>
      </w:r>
      <w:r>
        <w:tab/>
      </w:r>
      <w:r>
        <w:tab/>
      </w:r>
      <w:r>
        <w:tab/>
      </w:r>
      <w:r>
        <w:tab/>
      </w:r>
      <w:r>
        <w:tab/>
      </w:r>
      <w:r>
        <w:tab/>
      </w:r>
      <w:r>
        <w:rPr>
          <w:b/>
          <w:bCs/>
          <w:sz w:val="20"/>
        </w:rPr>
        <w:t xml:space="preserve">        ISSN 1803-6082 (on line)</w:t>
      </w:r>
    </w:p>
    <w:p w:rsidR="00AA3F0C" w:rsidP="001C6C0C">
      <w:pPr>
        <w:jc w:val="right"/>
      </w:pPr>
    </w:p>
    <w:p w:rsidR="00AA3F0C" w:rsidP="001C6C0C"/>
    <w:p w:rsidR="00AA3F0C" w:rsidP="001C6C0C">
      <w:r>
        <w:tab/>
      </w:r>
      <w:r>
        <w:tab/>
      </w:r>
      <w:r>
        <w:tab/>
      </w:r>
      <w:r>
        <w:tab/>
      </w:r>
      <w:r>
        <w:tab/>
      </w:r>
      <w:r w:rsidR="00B3563E">
        <w:tab/>
      </w:r>
      <w:r w:rsidR="00B3563E">
        <w:tab/>
      </w:r>
      <w:r w:rsidR="00B3563E">
        <w:tab/>
      </w:r>
      <w:r w:rsidR="00B3563E">
        <w:tab/>
      </w:r>
      <w:r w:rsidR="00B3563E">
        <w:tab/>
        <w:t>Ročník: 2019</w:t>
      </w:r>
      <w:r>
        <w:tab/>
      </w:r>
    </w:p>
    <w:p w:rsidR="00AA3F0C" w:rsidP="001C6C0C">
      <w:r>
        <w:t xml:space="preserve">       </w:t>
      </w:r>
      <w:r w:rsidR="00B3563E">
        <w:t xml:space="preserve">               </w:t>
      </w:r>
      <w:r w:rsidR="00B3563E">
        <w:tab/>
      </w:r>
      <w:r w:rsidR="00B3563E">
        <w:tab/>
      </w:r>
      <w:r w:rsidR="00B3563E">
        <w:tab/>
      </w:r>
      <w:r w:rsidR="00B3563E">
        <w:tab/>
      </w:r>
      <w:r w:rsidR="00B3563E">
        <w:tab/>
      </w:r>
      <w:r w:rsidR="00B3563E">
        <w:tab/>
      </w:r>
      <w:r w:rsidR="00B3563E">
        <w:tab/>
      </w:r>
      <w:r w:rsidR="00B3563E">
        <w:tab/>
      </w:r>
      <w:r w:rsidR="00B3563E">
        <w:tab/>
        <w:t>Číslo: 4</w:t>
      </w:r>
    </w:p>
    <w:p w:rsidR="00AA3F0C" w:rsidP="001C6C0C"/>
    <w:p w:rsidR="00AA3F0C" w:rsidP="001C6C0C">
      <w:pPr>
        <w:pBdr>
          <w:top w:val="single" w:sz="12" w:space="1" w:color="auto"/>
          <w:bottom w:val="single" w:sz="12" w:space="1" w:color="auto"/>
        </w:pBdr>
        <w:jc w:val="center"/>
      </w:pPr>
    </w:p>
    <w:p w:rsidR="00AA3F0C" w:rsidP="001C6C0C">
      <w:pPr>
        <w:pBdr>
          <w:top w:val="single" w:sz="12" w:space="1" w:color="auto"/>
          <w:bottom w:val="single" w:sz="12" w:space="1" w:color="auto"/>
        </w:pBdr>
        <w:jc w:val="center"/>
      </w:pPr>
      <w:r>
        <w:t xml:space="preserve">V Praze dne </w:t>
      </w:r>
      <w:r w:rsidR="007C05B2">
        <w:t>1</w:t>
      </w:r>
      <w:bookmarkStart w:id="0" w:name="_GoBack"/>
      <w:bookmarkEnd w:id="0"/>
      <w:r w:rsidR="007C05B2">
        <w:t>1</w:t>
      </w:r>
      <w:r>
        <w:t xml:space="preserve">. </w:t>
      </w:r>
      <w:r w:rsidR="00B3563E">
        <w:t>prosince</w:t>
      </w:r>
      <w:r>
        <w:t xml:space="preserve"> 201</w:t>
      </w:r>
      <w:r w:rsidR="00B3563E">
        <w:t>9</w:t>
      </w:r>
    </w:p>
    <w:p w:rsidR="00AA3F0C" w:rsidP="001C6C0C">
      <w:pPr>
        <w:pBdr>
          <w:top w:val="single" w:sz="12" w:space="1" w:color="auto"/>
          <w:bottom w:val="single" w:sz="12" w:space="1" w:color="auto"/>
        </w:pBdr>
        <w:jc w:val="center"/>
      </w:pPr>
    </w:p>
    <w:p w:rsidR="00AA3F0C" w:rsidP="001C6C0C">
      <w:pPr>
        <w:jc w:val="both"/>
        <w:rPr>
          <w:u w:val="single"/>
        </w:rPr>
      </w:pPr>
    </w:p>
    <w:p w:rsidR="00AA3F0C" w:rsidP="001C6C0C">
      <w:pPr>
        <w:jc w:val="center"/>
        <w:rPr>
          <w:u w:val="single"/>
        </w:rPr>
      </w:pPr>
      <w:r>
        <w:rPr>
          <w:u w:val="single"/>
        </w:rPr>
        <w:t>http: www.mfcr.cz</w:t>
      </w:r>
    </w:p>
    <w:p w:rsidR="00AA3F0C" w:rsidP="001C6C0C">
      <w:pPr>
        <w:jc w:val="center"/>
        <w:rPr>
          <w:u w:val="single"/>
        </w:rPr>
      </w:pPr>
      <w:r>
        <w:rPr>
          <w:u w:val="single"/>
        </w:rPr>
        <w:t>http://www.denik.obce.cz</w:t>
      </w:r>
    </w:p>
    <w:p w:rsidR="00AA3F0C" w:rsidP="001C6C0C">
      <w:pPr>
        <w:jc w:val="both"/>
        <w:rPr>
          <w:u w:val="single"/>
        </w:rPr>
      </w:pPr>
    </w:p>
    <w:p w:rsidR="00AA3F0C" w:rsidP="001C6C0C">
      <w:pPr>
        <w:jc w:val="both"/>
        <w:rPr>
          <w:u w:val="single"/>
        </w:rPr>
      </w:pPr>
    </w:p>
    <w:p w:rsidR="00AA3F0C" w:rsidP="001C6C0C">
      <w:pPr>
        <w:jc w:val="both"/>
        <w:rPr>
          <w:u w:val="single"/>
        </w:rPr>
      </w:pPr>
      <w:r>
        <w:rPr>
          <w:u w:val="single"/>
        </w:rPr>
        <w:t>OBSAH:</w:t>
      </w:r>
    </w:p>
    <w:p w:rsidR="00AA3F0C" w:rsidP="001C6C0C">
      <w:pPr>
        <w:jc w:val="right"/>
      </w:pPr>
      <w:r>
        <w:tab/>
      </w:r>
      <w:r>
        <w:tab/>
      </w:r>
      <w:r>
        <w:tab/>
      </w:r>
      <w:r>
        <w:tab/>
      </w:r>
      <w:r>
        <w:tab/>
      </w:r>
      <w:r>
        <w:tab/>
      </w:r>
      <w:r>
        <w:tab/>
      </w:r>
      <w:r>
        <w:tab/>
        <w:t xml:space="preserve">           strana</w:t>
      </w:r>
    </w:p>
    <w:p w:rsidR="000E43BD" w:rsidP="001C6C0C"/>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Tr="00997AF0">
        <w:tblPrEx>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40"/>
        </w:trPr>
        <w:tc>
          <w:tcPr>
            <w:tcW w:w="9072" w:type="dxa"/>
            <w:tcBorders>
              <w:top w:val="nil"/>
              <w:left w:val="nil"/>
              <w:bottom w:val="nil"/>
              <w:right w:val="nil"/>
            </w:tcBorders>
            <w:vAlign w:val="center"/>
          </w:tcPr>
          <w:p w:rsidR="000E43BD" w:rsidP="00997AF0">
            <w:pPr>
              <w:jc w:val="both"/>
              <w:rPr>
                <w:spacing w:val="-5"/>
                <w:u w:val="single"/>
              </w:rPr>
            </w:pPr>
            <w:r>
              <w:rPr>
                <w:spacing w:val="-5"/>
                <w:u w:val="single"/>
              </w:rPr>
              <w:t xml:space="preserve">1. </w:t>
            </w:r>
            <w:r w:rsidRPr="007A7798">
              <w:rPr>
                <w:spacing w:val="-5"/>
                <w:u w:val="single"/>
              </w:rPr>
              <w:t>Dotaz ohledně evidence jízd a spotřebovaných pohon</w:t>
            </w:r>
            <w:r>
              <w:rPr>
                <w:spacing w:val="-5"/>
                <w:u w:val="single"/>
              </w:rPr>
              <w:t>ných hmot uvolněného</w:t>
            </w:r>
          </w:p>
          <w:p w:rsidR="000E43BD" w:rsidRPr="007A7798" w:rsidP="00997AF0">
            <w:pPr>
              <w:jc w:val="both"/>
              <w:rPr>
                <w:u w:val="single"/>
              </w:rPr>
            </w:pPr>
            <w:r>
              <w:rPr>
                <w:spacing w:val="-5"/>
                <w:u w:val="single"/>
              </w:rPr>
              <w:t>starosty a </w:t>
            </w:r>
            <w:r w:rsidRPr="007A7798">
              <w:rPr>
                <w:spacing w:val="-5"/>
                <w:u w:val="single"/>
              </w:rPr>
              <w:t>zaměstnanců obce při užívání služebního motorového vozidla</w:t>
            </w:r>
          </w:p>
        </w:tc>
      </w:tr>
      <w:tr w:rsidTr="00997AF0">
        <w:tblPrEx>
          <w:tblW w:w="9072" w:type="dxa"/>
          <w:tblInd w:w="70" w:type="dxa"/>
          <w:tblLayout w:type="fixed"/>
          <w:tblCellMar>
            <w:left w:w="70" w:type="dxa"/>
            <w:right w:w="70" w:type="dxa"/>
          </w:tblCellMar>
          <w:tblLook w:val="0000"/>
        </w:tblPrEx>
        <w:trPr>
          <w:trHeight w:val="340"/>
        </w:trPr>
        <w:tc>
          <w:tcPr>
            <w:tcW w:w="9072" w:type="dxa"/>
            <w:tcBorders>
              <w:top w:val="nil"/>
              <w:left w:val="nil"/>
              <w:bottom w:val="nil"/>
              <w:right w:val="nil"/>
            </w:tcBorders>
            <w:vAlign w:val="center"/>
          </w:tcPr>
          <w:p w:rsidR="000E43BD" w:rsidP="00997AF0">
            <w:r>
              <w:t>čj.: MF – 26 824/2019/15 – 5 – ref. Mgr. T. Vajda …………………………………</w:t>
            </w:r>
            <w:r w:rsidR="00951AC1">
              <w:t>…...</w:t>
            </w:r>
            <w:r>
              <w:t>…</w:t>
            </w:r>
            <w:r>
              <w:t>.</w:t>
            </w:r>
            <w:r w:rsidR="00951AC1">
              <w:t xml:space="preserve"> 2</w:t>
            </w:r>
          </w:p>
          <w:p w:rsidR="000B5C7E" w:rsidRPr="00C97B77" w:rsidP="000B5C7E">
            <w:pPr>
              <w:rPr>
                <w:u w:val="single"/>
              </w:rPr>
            </w:pPr>
            <w:r>
              <w:rPr>
                <w:u w:val="single"/>
              </w:rPr>
              <w:t xml:space="preserve">2. </w:t>
            </w:r>
            <w:r w:rsidRPr="00C97B77">
              <w:rPr>
                <w:u w:val="single"/>
              </w:rPr>
              <w:t>Dotazy ke sčítání lidu, domů a bytů 2021</w:t>
            </w:r>
          </w:p>
          <w:p w:rsidR="000B5C7E" w:rsidRPr="00C97B77" w:rsidP="000B5C7E">
            <w:r>
              <w:t xml:space="preserve">ref.: </w:t>
            </w:r>
            <w:r w:rsidRPr="00C97B77">
              <w:t>JUDr. A. Heřmanová</w:t>
            </w:r>
            <w:r>
              <w:t xml:space="preserve"> ……………………………………………………………</w:t>
            </w:r>
            <w:r w:rsidR="00951AC1">
              <w:t>…..</w:t>
            </w:r>
            <w:r>
              <w:t>…</w:t>
            </w:r>
            <w:r>
              <w:t>.</w:t>
            </w:r>
            <w:r w:rsidR="00951AC1">
              <w:t xml:space="preserve"> 4</w:t>
            </w:r>
          </w:p>
          <w:p w:rsidR="000B5C7E" w:rsidP="000B5C7E">
            <w:pPr>
              <w:jc w:val="both"/>
              <w:rPr>
                <w:u w:val="single"/>
              </w:rPr>
            </w:pPr>
            <w:r w:rsidRPr="00174EC7">
              <w:rPr>
                <w:u w:val="single"/>
              </w:rPr>
              <w:t>3. Metodický postup k provedení novely zákona č. 378/2007 Sb., o léčivech</w:t>
            </w:r>
          </w:p>
          <w:p w:rsidR="000B5C7E" w:rsidRPr="00174EC7" w:rsidP="000B5C7E">
            <w:pPr>
              <w:jc w:val="both"/>
              <w:rPr>
                <w:u w:val="single"/>
              </w:rPr>
            </w:pPr>
            <w:r w:rsidRPr="00174EC7">
              <w:rPr>
                <w:u w:val="single"/>
              </w:rPr>
              <w:t>a o změnách a doplnění některých souvisejících zákonů, ve znění pozdějších</w:t>
            </w:r>
            <w:r w:rsidR="00951AC1">
              <w:rPr>
                <w:u w:val="single"/>
              </w:rPr>
              <w:t xml:space="preserve"> </w:t>
            </w:r>
            <w:r w:rsidRPr="00174EC7">
              <w:rPr>
                <w:u w:val="single"/>
              </w:rPr>
              <w:t>předpisů</w:t>
            </w:r>
          </w:p>
          <w:p w:rsidR="000B5C7E" w:rsidRPr="006F69A2" w:rsidP="000B5C7E">
            <w:pPr>
              <w:jc w:val="both"/>
            </w:pPr>
            <w:r w:rsidRPr="006F69A2">
              <w:t>čj.</w:t>
            </w:r>
            <w:r>
              <w:t>:</w:t>
            </w:r>
            <w:r w:rsidRPr="006F69A2">
              <w:t xml:space="preserve"> MF</w:t>
            </w:r>
            <w:r>
              <w:t xml:space="preserve"> – 29 144</w:t>
            </w:r>
            <w:r w:rsidRPr="006F69A2">
              <w:t>/201</w:t>
            </w:r>
            <w:r>
              <w:t>9</w:t>
            </w:r>
            <w:r w:rsidRPr="006F69A2">
              <w:t>/1201</w:t>
            </w:r>
            <w:r>
              <w:t xml:space="preserve"> – 3 – ref. I</w:t>
            </w:r>
            <w:r w:rsidR="00951AC1">
              <w:t>ng. I. Dvořáková …………………………</w:t>
            </w:r>
            <w:r w:rsidR="00951AC1">
              <w:t>…..…</w:t>
            </w:r>
            <w:r w:rsidR="00951AC1">
              <w:t>… 4</w:t>
            </w:r>
          </w:p>
          <w:p w:rsidR="000E43BD" w:rsidRPr="007A7798" w:rsidP="00997AF0"/>
        </w:tc>
      </w:tr>
    </w:tbl>
    <w:p w:rsidR="007A7798" w:rsidP="001C6C0C">
      <w: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72"/>
      </w:tblGrid>
      <w:tr w:rsidTr="00A34D18">
        <w:tblPrEx>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340"/>
        </w:trPr>
        <w:tc>
          <w:tcPr>
            <w:tcW w:w="9072" w:type="dxa"/>
            <w:tcBorders>
              <w:top w:val="nil"/>
              <w:left w:val="nil"/>
              <w:bottom w:val="nil"/>
              <w:right w:val="nil"/>
            </w:tcBorders>
            <w:vAlign w:val="center"/>
          </w:tcPr>
          <w:p w:rsidR="007A7798" w:rsidRPr="007A7798" w:rsidP="0042214E">
            <w:pPr>
              <w:jc w:val="both"/>
              <w:rPr>
                <w:u w:val="single"/>
              </w:rPr>
            </w:pPr>
            <w:r>
              <w:rPr>
                <w:spacing w:val="-5"/>
                <w:u w:val="single"/>
              </w:rPr>
              <w:t xml:space="preserve">1. </w:t>
            </w:r>
            <w:r w:rsidRPr="007A7798">
              <w:rPr>
                <w:spacing w:val="-5"/>
                <w:u w:val="single"/>
              </w:rPr>
              <w:t>Dotaz ohledně evidence jízd a spotřebovaných pohon</w:t>
            </w:r>
            <w:r>
              <w:rPr>
                <w:spacing w:val="-5"/>
                <w:u w:val="single"/>
              </w:rPr>
              <w:t>ných hmot uvolněného starosty a </w:t>
            </w:r>
            <w:r w:rsidRPr="007A7798">
              <w:rPr>
                <w:spacing w:val="-5"/>
                <w:u w:val="single"/>
              </w:rPr>
              <w:t>zaměstnanců obce při užívání služebního motorového vozidla</w:t>
            </w:r>
          </w:p>
        </w:tc>
      </w:tr>
      <w:tr w:rsidTr="00A34D18">
        <w:tblPrEx>
          <w:tblW w:w="9072" w:type="dxa"/>
          <w:tblInd w:w="70" w:type="dxa"/>
          <w:tblLayout w:type="fixed"/>
          <w:tblCellMar>
            <w:left w:w="70" w:type="dxa"/>
            <w:right w:w="70" w:type="dxa"/>
          </w:tblCellMar>
          <w:tblLook w:val="0000"/>
        </w:tblPrEx>
        <w:trPr>
          <w:trHeight w:val="340"/>
        </w:trPr>
        <w:tc>
          <w:tcPr>
            <w:tcW w:w="9072" w:type="dxa"/>
            <w:tcBorders>
              <w:top w:val="nil"/>
              <w:left w:val="nil"/>
              <w:bottom w:val="nil"/>
              <w:right w:val="nil"/>
            </w:tcBorders>
            <w:vAlign w:val="center"/>
          </w:tcPr>
          <w:p w:rsidR="007A7798" w:rsidP="0042214E">
            <w:r>
              <w:t>čj.: MF – 26 824/2019/15 – 5 – ref. Mgr. T. Vajda</w:t>
            </w:r>
          </w:p>
          <w:p w:rsidR="007A7798" w:rsidRPr="007A7798" w:rsidP="0042214E"/>
        </w:tc>
      </w:tr>
    </w:tbl>
    <w:p w:rsidR="007A7798" w:rsidP="0042214E">
      <w:pPr>
        <w:ind w:firstLine="708"/>
        <w:jc w:val="both"/>
      </w:pPr>
      <w:r w:rsidRPr="007A7798">
        <w:t xml:space="preserve">K elektronickému podání ze dne 8. 10. 2019, </w:t>
      </w:r>
      <w:r w:rsidRPr="007A7798">
        <w:t>č.j.</w:t>
      </w:r>
      <w:r w:rsidRPr="007A7798">
        <w:t>: OUK-1189/2019, ve věci dotazu týkajícího se evidence jízd a spotřebovaných pohon</w:t>
      </w:r>
      <w:r w:rsidR="0042214E">
        <w:t>ných hmot uvolněného starosty a </w:t>
      </w:r>
      <w:r w:rsidRPr="007A7798">
        <w:t xml:space="preserve">zaměstnanců obce při užívání služebního motorového vozidla, uvádíme následující: </w:t>
      </w:r>
    </w:p>
    <w:p w:rsidR="001C6C0C" w:rsidRPr="007A7798" w:rsidP="001C6C0C">
      <w:pPr>
        <w:jc w:val="both"/>
      </w:pPr>
    </w:p>
    <w:p w:rsidR="007A7798" w:rsidRPr="007A7798" w:rsidP="001C6C0C">
      <w:pPr>
        <w:ind w:firstLine="708"/>
        <w:jc w:val="both"/>
      </w:pPr>
      <w:r w:rsidRPr="007A7798">
        <w:t>Úvodem si dovolujeme upozornit, že zákon č. 586/1992 Sb., o daních z příjmů, ve znění pozdějších předpisů (dále jen „ZDP“), explicitně nestanovuje z pohledu zaměstnance nebo uvolněného člena zastupitelstva obce žádnou</w:t>
      </w:r>
      <w:r w:rsidR="0042214E">
        <w:t xml:space="preserve"> povinnost vést evidenci jízd a </w:t>
      </w:r>
      <w:r w:rsidRPr="007A7798">
        <w:t xml:space="preserve">spotřebovaných pohonných hmot při využívání služebního motorového vozidla.    </w:t>
      </w:r>
    </w:p>
    <w:p w:rsidR="001C6C0C" w:rsidP="001C6C0C">
      <w:pPr>
        <w:jc w:val="both"/>
      </w:pPr>
    </w:p>
    <w:p w:rsidR="007A7798" w:rsidRPr="007A7798" w:rsidP="001C6C0C">
      <w:pPr>
        <w:ind w:firstLine="708"/>
        <w:jc w:val="both"/>
      </w:pPr>
      <w:r w:rsidRPr="007A7798">
        <w:t xml:space="preserve">Nicméně lze obecně sdělit, že v případě využívání služebního vozidla zaměstnancem, resp. uvolněným členem zastupitelstva obce, je z hlediska daňového režimu nutno odlišovat situace, jak je dané vozidlo využíváno. </w:t>
      </w:r>
    </w:p>
    <w:p w:rsidR="001C6C0C" w:rsidP="001C6C0C">
      <w:pPr>
        <w:jc w:val="both"/>
      </w:pPr>
    </w:p>
    <w:p w:rsidR="007A7798" w:rsidRPr="007A7798" w:rsidP="001C6C0C">
      <w:pPr>
        <w:ind w:firstLine="708"/>
        <w:jc w:val="both"/>
      </w:pPr>
      <w:r w:rsidRPr="007A7798">
        <w:t xml:space="preserve">V situaci, kdy zaměstnanec využívá služební vozidlo pouze ke služebním účelům, nevzniká zaměstnanci žádný zdanitelný příjem. Pokud zaměstnanec naopak využije služební motorové vozidlo pouze k soukromým účelům, tj. zaměstnavatel poskytne bezplatně zaměstnanci služební vozidlo pouze pro soukromé účely, vzniká na straně zaměstnance zdanitelný příjem podle </w:t>
      </w:r>
      <w:r w:rsidRPr="007A7798">
        <w:t>ust</w:t>
      </w:r>
      <w:r w:rsidRPr="007A7798">
        <w:t>. § 6 odst. 1 písm. d) a § 6 odst. 3 ZDP. Předmětné ustanovení § 6 odst. 3 ZDP mj. uvádí, že příjmem se rozumí rovněž částka, o kterou je úhrada zaměstnance zaměstnavateli za poskytnuté plnění nižší, než je cena určená podle zákona upravujícího oceňování majetku nebo cena, kterou účtuje jiným osobám. V dané situaci</w:t>
      </w:r>
      <w:r w:rsidR="001C6C0C">
        <w:t xml:space="preserve"> jsou naplněny znaky výpůjčky a </w:t>
      </w:r>
      <w:r w:rsidRPr="007A7798">
        <w:t>příjem je nutné ocenit obvyklým nájemný</w:t>
      </w:r>
      <w:r w:rsidR="001C6C0C">
        <w:t>m. V praxi se lze setkat také s </w:t>
      </w:r>
      <w:r w:rsidRPr="007A7798">
        <w:t xml:space="preserve">možností sjednání určité úplaty za poskytnutí vozidla, kde zdanitelným příjmem by byla částka rozdílu mezi sjednanou úplatou a obvyklým nájemným. </w:t>
      </w:r>
    </w:p>
    <w:p w:rsidR="001C6C0C" w:rsidP="001C6C0C">
      <w:pPr>
        <w:jc w:val="both"/>
      </w:pPr>
    </w:p>
    <w:p w:rsidR="007A7798" w:rsidRPr="007A7798" w:rsidP="001C6C0C">
      <w:pPr>
        <w:ind w:firstLine="708"/>
        <w:jc w:val="both"/>
      </w:pPr>
      <w:r w:rsidRPr="007A7798">
        <w:t xml:space="preserve">A konečně situace, kdy zaměstnanec využívá služební vozidlo k služebním a soukromým účelům v souladu s </w:t>
      </w:r>
      <w:r w:rsidRPr="007A7798">
        <w:t>ust</w:t>
      </w:r>
      <w:r w:rsidRPr="007A7798">
        <w:t>. § 6 odst. 6 ZDP. Podle tohoto ustanovení poskytuje-li zaměstnavatel zaměstnanci bezplatně motorové vozidlo k používání pro služební i soukromé účely, považuje se za příjem zaměstnance částka ve výši 1 % vstupní ceny vozidla</w:t>
      </w:r>
      <w:r w:rsidR="001C6C0C">
        <w:t xml:space="preserve"> za každý i </w:t>
      </w:r>
      <w:r w:rsidRPr="007A7798">
        <w:t>započatý kalendářní měsíc poskytnutí vozidla. Zaměstnanec se zaměstnavatelem má rovněž možnost se domluvit na určité úplatě za poskytnutí služebního vozidla. Tuto možnost vymezuje ustanovení § 6 odst. 3 písm. b) ZDP, podle kterého by zdanitelným příjmem byla částka rozdílu mezi oceněním dle ustanovení § 6 odst. 6 ZDP a nižší sjednanou úplatou.</w:t>
      </w:r>
    </w:p>
    <w:p w:rsidR="001C6C0C" w:rsidP="001C6C0C">
      <w:pPr>
        <w:jc w:val="both"/>
      </w:pPr>
    </w:p>
    <w:p w:rsidR="007A7798" w:rsidRPr="007A7798" w:rsidP="001C6C0C">
      <w:pPr>
        <w:ind w:firstLine="708"/>
        <w:jc w:val="both"/>
      </w:pPr>
      <w:r w:rsidRPr="007A7798">
        <w:t xml:space="preserve">Je nutno upozornit, že spotřebované pohonné hmoty se nezahrnují do příjmu 1 % vstupní ceny vozidla. Jedná-li se o bezplatné poskytnutí motorového vozidla </w:t>
      </w:r>
      <w:r w:rsidR="001C6C0C">
        <w:t>zaměstnanci k </w:t>
      </w:r>
      <w:r w:rsidRPr="007A7798">
        <w:t>používání pro služební i soukromé účely, musí si zaměstnanec výdaje za spotřebované pohonné hmoty při soukromých cestách hradit sám z vlastních finančních prostředků. Zaměstnavatel hradí pouze výdaje za spotřebované pohonné hmoty při pracovních cestách, na které zaměstnance vyšle tímto vozidlem. V případě, že zaměstnavatel za zaměstnance uhradí pohonné hmoty spotřebované při soukromých jízdách, jedná</w:t>
      </w:r>
      <w:r w:rsidR="001C6C0C">
        <w:t xml:space="preserve"> se o plnění podléhající dani z </w:t>
      </w:r>
      <w:r w:rsidRPr="007A7798">
        <w:t xml:space="preserve">příjmů ze závislé činnosti. Z hlediska prokázání výdajů na pracovní cesty uskutečněné zaměstnancem tímto vozidlem na straně zaměstnavatele je vhodné, aby zaměstnavatel stanovil podmínky pro poskytování vozidla zaměstnanci k služebním i soukromým účelům a sjednal se zaměstnancem dohodu o poskytování předmětného vozidla včetně způsobu evidence pracovních cest. Na ostatních výdajích spojených s provozem tohoto vozidla se již </w:t>
      </w:r>
      <w:r w:rsidRPr="007A7798">
        <w:t xml:space="preserve">zaměstnanec nepodílí. Tzn., že opravy, náhradní díly, pojistné apod. hradí a v plné výši daňově uplatňuje zaměstnavatel. </w:t>
      </w:r>
    </w:p>
    <w:p w:rsidR="001C6C0C" w:rsidP="001C6C0C">
      <w:pPr>
        <w:jc w:val="both"/>
      </w:pPr>
    </w:p>
    <w:p w:rsidR="007A7798" w:rsidRPr="007A7798" w:rsidP="001C6C0C">
      <w:pPr>
        <w:ind w:firstLine="708"/>
        <w:jc w:val="both"/>
      </w:pPr>
      <w:r w:rsidRPr="007A7798">
        <w:t>K poskytnutí služebního motorového vozidla zaměstnancům obce nebo uvolněným členům zastupitelstva obce je nutno dále uvést, že zákon č. 250/2000 Sb., o rozpočtových pravidlech územních rozpočtů, ve znění pozdějších předpis</w:t>
      </w:r>
      <w:r w:rsidR="001C6C0C">
        <w:t>ů, ani zákon č. 128/2000 Sb., o </w:t>
      </w:r>
      <w:r w:rsidRPr="007A7798">
        <w:t xml:space="preserve">obcích (obecní zřízení), ve znění pozdějších předpisů, neobsahuje žádné ustanovení, které by upravovalo tuto možnost.    </w:t>
      </w:r>
    </w:p>
    <w:p w:rsidR="001C6C0C" w:rsidP="001C6C0C">
      <w:pPr>
        <w:ind w:firstLine="708"/>
        <w:jc w:val="both"/>
      </w:pPr>
    </w:p>
    <w:p w:rsidR="007A7798" w:rsidRPr="007A7798" w:rsidP="001C6C0C">
      <w:pPr>
        <w:ind w:firstLine="708"/>
        <w:jc w:val="both"/>
      </w:pPr>
      <w:r w:rsidRPr="007A7798">
        <w:t>V případě uvolněných členů zastupitelstva obce jsou podle § 6 odst. 10 písm. b) bodu 1. ZDP odměny za výkon funkce a plnění poskytovaná v souvislosti se současným nebo dřívějším výkonem funkce v orgánech obcí funkčními požitky. Podle § 6 odst. 12 ZDP se ustanovení odstavců 6, 7, 8 a 9 použijí obdobně i pro pln</w:t>
      </w:r>
      <w:r w:rsidR="001C6C0C">
        <w:t>ění poskytované v souvislosti s </w:t>
      </w:r>
      <w:r w:rsidRPr="007A7798">
        <w:t xml:space="preserve">výkonem funkce.  </w:t>
      </w:r>
    </w:p>
    <w:p w:rsidR="001C6C0C" w:rsidP="001C6C0C">
      <w:pPr>
        <w:ind w:firstLine="708"/>
        <w:jc w:val="both"/>
      </w:pPr>
    </w:p>
    <w:p w:rsidR="007A7798" w:rsidRPr="007A7798" w:rsidP="001C6C0C">
      <w:pPr>
        <w:ind w:firstLine="708"/>
        <w:jc w:val="both"/>
      </w:pPr>
      <w:r w:rsidRPr="007A7798">
        <w:t>Podle našeho právního názoru by zaměstnavatel – obec mohl ve výjimečném případě, za výjimečných podmínek vhodných zvláštního zřetele, na dobu určitou poskytnout svému zaměstnanci i uvolněnému členu zastupitelstva služební vozidlo i pro soukromé účely. Toto poskytnutí pro soukromý účel by muselo být řádně ošetřeno smlouvou, která by měla obsahovat jednoznačná práva a povinnosti zaměstnavatele – obce jako poskytovatele (vlastníka) a zaměstnance resp. uvolněného člena zastupitelstva jako uživatele vozidla včetně hmotné spoluúčasti. Pochopitelně by muselo být zabezpečeno všestranné pojištění vozidla včetně pojištění osob (řidič, spolujezdci). Muselo by být rovněž zabezpečeno prokazatelné použití vozidla pro služební účely a pro soukromé úč</w:t>
      </w:r>
      <w:r w:rsidR="00951AC1">
        <w:t>ely a hrazení pohonných hmot. Z </w:t>
      </w:r>
      <w:r w:rsidRPr="007A7798">
        <w:t xml:space="preserve">pohledu zaměstnance nebo uvolněného člena zastupitelstva obce by tedy vyplývala povinnost vést řádnou evidenci jízd v rozlišení na služební a soukromé a povinnost hradit si pohonné hmoty spotřebované při soukromých jízdách. U zaměstnance i u uvolněného člena zastupitelstva obce by se muselo postupovat podle § 6 odst. 6 ZDP.  </w:t>
      </w:r>
    </w:p>
    <w:p w:rsidR="001C6C0C" w:rsidP="001C6C0C">
      <w:pPr>
        <w:ind w:firstLine="708"/>
        <w:jc w:val="both"/>
      </w:pPr>
    </w:p>
    <w:p w:rsidR="007A7798" w:rsidRPr="007A7798" w:rsidP="001C6C0C">
      <w:pPr>
        <w:ind w:firstLine="708"/>
        <w:jc w:val="both"/>
      </w:pPr>
      <w:r w:rsidRPr="007A7798">
        <w:t>Dovolujeme si upozornit na skutečnost, že Ministerstvo financí není oprávněno k závaznému výkladu právních předpisů a rovněž ani k pos</w:t>
      </w:r>
      <w:r w:rsidR="001C6C0C">
        <w:t>kytování právního poradenství v </w:t>
      </w:r>
      <w:r w:rsidRPr="007A7798">
        <w:t>individuálních záležitostech.</w:t>
      </w:r>
    </w:p>
    <w:p w:rsidR="001C6C0C" w:rsidP="001C6C0C">
      <w:pPr>
        <w:ind w:firstLine="708"/>
        <w:jc w:val="both"/>
      </w:pPr>
    </w:p>
    <w:p w:rsidR="007A7798" w:rsidP="001C6C0C">
      <w:pPr>
        <w:ind w:firstLine="708"/>
        <w:jc w:val="both"/>
        <w:rPr>
          <w:rFonts w:ascii="Arial" w:hAnsi="Arial" w:cs="Arial"/>
        </w:rPr>
      </w:pPr>
      <w:r w:rsidRPr="007A7798">
        <w:t xml:space="preserve">Při posouzení předloženého dotazu vycházelo </w:t>
      </w:r>
      <w:r w:rsidR="001C6C0C">
        <w:t>Ministerstvo financí výhradně z </w:t>
      </w:r>
      <w:r w:rsidRPr="007A7798">
        <w:t>údajů uvedených v podání bez podrobných z</w:t>
      </w:r>
      <w:r w:rsidR="001C6C0C">
        <w:t>nalostí konkrétních informací a souvislostí, které se k </w:t>
      </w:r>
      <w:r w:rsidRPr="007A7798">
        <w:t>předmětnému problému vztahují. Posouzení aplikace daňových předpisů v konkrétním případě je zcela v kompetenci přísl</w:t>
      </w:r>
      <w:r w:rsidR="001C6C0C">
        <w:t>ušného správce daně, který má k </w:t>
      </w:r>
      <w:r w:rsidRPr="007A7798">
        <w:t>dispozici podrobnější údaje k danému případu</w:t>
      </w:r>
      <w:r w:rsidRPr="0032469E">
        <w:rPr>
          <w:rFonts w:ascii="Arial" w:hAnsi="Arial" w:cs="Arial"/>
        </w:rPr>
        <w:t>.</w:t>
      </w:r>
      <w:r>
        <w:rPr>
          <w:rFonts w:ascii="Arial" w:hAnsi="Arial" w:cs="Arial"/>
        </w:rPr>
        <w:t xml:space="preserve">  </w:t>
      </w:r>
    </w:p>
    <w:p w:rsidR="00880A0C" w:rsidP="00880A0C">
      <w:pPr>
        <w:jc w:val="center"/>
      </w:pPr>
    </w:p>
    <w:p w:rsidR="00880A0C" w:rsidP="00880A0C">
      <w:pPr>
        <w:jc w:val="center"/>
      </w:pPr>
      <w:r>
        <w:t>________________________________</w:t>
      </w:r>
    </w:p>
    <w:p w:rsidR="00880A0C" w:rsidP="00880A0C">
      <w:pPr>
        <w:jc w:val="center"/>
      </w:pPr>
      <w:r>
        <w:t>_____________________________</w:t>
      </w:r>
    </w:p>
    <w:p w:rsidR="00880A0C" w:rsidP="00880A0C">
      <w:pPr>
        <w:jc w:val="center"/>
      </w:pPr>
      <w:r>
        <w:t>________________________</w:t>
      </w:r>
    </w:p>
    <w:p w:rsidR="00AA3F0C" w:rsidP="001C6C0C">
      <w:pPr>
        <w:jc w:val="both"/>
      </w:pPr>
    </w:p>
    <w:p w:rsidR="007A5373" w:rsidP="007A5373">
      <w:pPr>
        <w:rPr>
          <w:u w:val="single"/>
        </w:rPr>
      </w:pPr>
    </w:p>
    <w:p w:rsidR="007A5373" w:rsidP="007A5373">
      <w:pPr>
        <w:rPr>
          <w:u w:val="single"/>
        </w:rPr>
      </w:pPr>
    </w:p>
    <w:p w:rsidR="007A5373" w:rsidP="007A5373">
      <w:pPr>
        <w:rPr>
          <w:u w:val="single"/>
        </w:rPr>
      </w:pPr>
    </w:p>
    <w:p w:rsidR="007A5373" w:rsidP="007A5373">
      <w:pPr>
        <w:rPr>
          <w:u w:val="single"/>
        </w:rPr>
      </w:pPr>
    </w:p>
    <w:p w:rsidR="007A5373" w:rsidP="007A5373">
      <w:pPr>
        <w:rPr>
          <w:u w:val="single"/>
        </w:rPr>
      </w:pPr>
    </w:p>
    <w:p w:rsidR="007A5373" w:rsidP="007A5373">
      <w:pPr>
        <w:rPr>
          <w:u w:val="single"/>
        </w:rPr>
      </w:pPr>
    </w:p>
    <w:p w:rsidR="007A5373" w:rsidP="007A5373">
      <w:pPr>
        <w:rPr>
          <w:u w:val="single"/>
        </w:rPr>
      </w:pPr>
    </w:p>
    <w:p w:rsidR="007A5373" w:rsidRPr="00C97B77" w:rsidP="007A5373">
      <w:pPr>
        <w:rPr>
          <w:u w:val="single"/>
        </w:rPr>
      </w:pPr>
      <w:r>
        <w:rPr>
          <w:u w:val="single"/>
        </w:rPr>
        <w:t xml:space="preserve">2. </w:t>
      </w:r>
      <w:r w:rsidRPr="00C97B77">
        <w:rPr>
          <w:u w:val="single"/>
        </w:rPr>
        <w:t>Dotazy ke sčítání lidu, domů a bytů 2021</w:t>
      </w:r>
    </w:p>
    <w:p w:rsidR="007A5373" w:rsidRPr="00C97B77" w:rsidP="007A5373">
      <w:r>
        <w:t xml:space="preserve">ref.: </w:t>
      </w:r>
      <w:r w:rsidRPr="00C97B77">
        <w:t>JUDr. A. Heřmanová</w:t>
      </w:r>
    </w:p>
    <w:p w:rsidR="00880A0C" w:rsidP="001C6C0C">
      <w:pPr>
        <w:jc w:val="both"/>
      </w:pPr>
    </w:p>
    <w:p w:rsidR="007A5373" w:rsidRPr="007A5373" w:rsidP="009314F5">
      <w:pPr>
        <w:jc w:val="both"/>
        <w:rPr>
          <w:b/>
        </w:rPr>
      </w:pPr>
      <w:r w:rsidRPr="007A5373">
        <w:rPr>
          <w:b/>
        </w:rPr>
        <w:t>Úhrada výdajů za práce spojené s přípravou sčítání lidu, domů a bytů 2021 z dotace ze státního rozpočtu:</w:t>
      </w:r>
    </w:p>
    <w:p w:rsidR="007A5373" w:rsidRPr="007A5373" w:rsidP="009314F5">
      <w:pPr>
        <w:jc w:val="both"/>
      </w:pPr>
      <w:r w:rsidRPr="007A5373">
        <w:t>Dotaci poskytnutou v roce 2019 na výdaje roku 2019 lze použít pouze v tomto roce. Dotace musí být vyúčtována při finančním vypořádání dotace za rok 2019 a nepoužité prostředky včetně prostředků na mzdy, platy nebo odměny z dohod o provedení práce za prosinec 2019 vráceny do státního rozpočtu. Finanční prostředky na mzdy</w:t>
      </w:r>
      <w:r w:rsidR="009314F5">
        <w:t>, platy nebo odměny z dohod o </w:t>
      </w:r>
      <w:r w:rsidRPr="007A5373">
        <w:t>pracích konaných mimo pracovní poměr za prosinec 2019, které budou vyplaceny až v lednu 2020, nelze tedy převést na depozitní účet.</w:t>
      </w:r>
    </w:p>
    <w:p w:rsidR="007A5373" w:rsidP="009314F5">
      <w:pPr>
        <w:spacing w:after="120"/>
        <w:ind w:firstLine="708"/>
        <w:jc w:val="both"/>
      </w:pPr>
    </w:p>
    <w:p w:rsidR="007A5373" w:rsidRPr="007A5373" w:rsidP="009314F5">
      <w:pPr>
        <w:spacing w:after="120"/>
        <w:ind w:firstLine="708"/>
        <w:jc w:val="both"/>
      </w:pPr>
      <w:r w:rsidRPr="007A5373">
        <w:t xml:space="preserve">O výši výdajů uskutečněných v lednu 2020 na mzdy, </w:t>
      </w:r>
      <w:r w:rsidR="009314F5">
        <w:t>platy nebo odměny z dohod o </w:t>
      </w:r>
      <w:r w:rsidRPr="007A5373">
        <w:t xml:space="preserve">provedení práce za prosinec 2019 poskytnou územní samosprávné celky Ministerstvu financí informaci současně se zasláním podkladů pro finanční vypořádání dotace za rok 2019. O uvedenou částku bude zvýšena dotace ze státního rozpočtu na rok 2020, stanovená podle počtu stavebních objektů zbývajících k došetření v roce 2020. </w:t>
      </w:r>
    </w:p>
    <w:p w:rsidR="007A5373" w:rsidRPr="007A5373" w:rsidP="009314F5">
      <w:pPr>
        <w:jc w:val="both"/>
      </w:pPr>
    </w:p>
    <w:p w:rsidR="007A5373" w:rsidRPr="007A5373" w:rsidP="009314F5">
      <w:pPr>
        <w:jc w:val="both"/>
        <w:rPr>
          <w:b/>
        </w:rPr>
      </w:pPr>
      <w:r w:rsidRPr="007A5373">
        <w:rPr>
          <w:b/>
        </w:rPr>
        <w:t>K výdajům na práce spojené s přípravou sčítání lidu, domů a bytů 2021, uskutečněným v roce 2019 nad rámec dotace poskytnuté ze státního rozpočtu:</w:t>
      </w:r>
    </w:p>
    <w:p w:rsidR="007A5373" w:rsidRPr="007A5373" w:rsidP="009314F5">
      <w:pPr>
        <w:jc w:val="both"/>
      </w:pPr>
      <w:r w:rsidRPr="007A5373">
        <w:t>Bude-li v roce 2019 došetřen větší počet stavebních objektů, než je uveden v příloze č. 1 rozhodnutí o poskytnutí dotace na rok 2019 a dotace poskytnutá v roce 2019 nepokryje veškeré výdaje roku 2019, bude možné požádat o finanční prostředky na výdaje uskutečněné nad rámec dotace poskytnuté v roce 2019 při finančním vypořádání dotace za rok 2019.</w:t>
      </w:r>
    </w:p>
    <w:p w:rsidR="007A5373" w:rsidP="009314F5">
      <w:pPr>
        <w:jc w:val="both"/>
      </w:pPr>
    </w:p>
    <w:p w:rsidR="009314F5" w:rsidP="009314F5">
      <w:pPr>
        <w:jc w:val="center"/>
      </w:pPr>
      <w:r>
        <w:t>________________________________</w:t>
      </w:r>
    </w:p>
    <w:p w:rsidR="009314F5" w:rsidP="009314F5">
      <w:pPr>
        <w:jc w:val="center"/>
      </w:pPr>
      <w:r>
        <w:t>_____________________________</w:t>
      </w:r>
    </w:p>
    <w:p w:rsidR="009314F5" w:rsidP="009314F5">
      <w:pPr>
        <w:jc w:val="center"/>
      </w:pPr>
      <w:r>
        <w:t>________________________</w:t>
      </w:r>
    </w:p>
    <w:p w:rsidR="009314F5" w:rsidP="001C6C0C">
      <w:pPr>
        <w:jc w:val="both"/>
      </w:pPr>
    </w:p>
    <w:p w:rsidR="00174EC7" w:rsidP="001C6C0C">
      <w:pPr>
        <w:jc w:val="both"/>
      </w:pPr>
    </w:p>
    <w:p w:rsidR="00174EC7" w:rsidRPr="00174EC7" w:rsidP="001C6C0C">
      <w:pPr>
        <w:jc w:val="both"/>
        <w:rPr>
          <w:u w:val="single"/>
        </w:rPr>
      </w:pPr>
      <w:r w:rsidRPr="00174EC7">
        <w:rPr>
          <w:u w:val="single"/>
        </w:rPr>
        <w:t>3. Metodický postup k provedení novely zákona č. 378/2007 Sb., o léčivech a o změnách a doplnění některých souvisejících zákonů, ve znění pozdějších předpisů</w:t>
      </w:r>
    </w:p>
    <w:p w:rsidR="00174EC7" w:rsidRPr="006F69A2" w:rsidP="00174EC7">
      <w:pPr>
        <w:jc w:val="both"/>
      </w:pPr>
      <w:r w:rsidRPr="006F69A2">
        <w:t>čj.</w:t>
      </w:r>
      <w:r>
        <w:t>:</w:t>
      </w:r>
      <w:r w:rsidRPr="006F69A2">
        <w:t xml:space="preserve"> MF</w:t>
      </w:r>
      <w:r>
        <w:t xml:space="preserve"> – 29 144</w:t>
      </w:r>
      <w:r w:rsidRPr="006F69A2">
        <w:t>/201</w:t>
      </w:r>
      <w:r>
        <w:t>9</w:t>
      </w:r>
      <w:r w:rsidRPr="006F69A2">
        <w:t>/1201</w:t>
      </w:r>
      <w:r>
        <w:t xml:space="preserve"> – 3 – ref. Ing. I. Dvořáková</w:t>
      </w:r>
      <w:r w:rsidRPr="006F69A2">
        <w:t xml:space="preserve">  </w:t>
      </w:r>
    </w:p>
    <w:p w:rsidR="00174EC7" w:rsidP="001C6C0C">
      <w:pPr>
        <w:jc w:val="both"/>
      </w:pPr>
    </w:p>
    <w:p w:rsidR="00174EC7" w:rsidP="00174EC7">
      <w:pPr>
        <w:pStyle w:val="Heading1"/>
        <w:jc w:val="center"/>
        <w:rPr>
          <w:sz w:val="28"/>
        </w:rPr>
      </w:pPr>
      <w:r>
        <w:rPr>
          <w:sz w:val="28"/>
        </w:rPr>
        <w:t>M e t o d i c k ý   p o s t u p</w:t>
      </w:r>
    </w:p>
    <w:p w:rsidR="00174EC7" w:rsidRPr="006F69A2" w:rsidP="00174EC7">
      <w:pPr>
        <w:jc w:val="center"/>
      </w:pPr>
      <w:r w:rsidRPr="006F69A2">
        <w:t>čj. MF-</w:t>
      </w:r>
      <w:r>
        <w:t>29144</w:t>
      </w:r>
      <w:r w:rsidRPr="006F69A2">
        <w:t>/201</w:t>
      </w:r>
      <w:r>
        <w:t>9</w:t>
      </w:r>
      <w:r w:rsidRPr="006F69A2">
        <w:t>/1201</w:t>
      </w:r>
      <w:r>
        <w:t>-3</w:t>
      </w:r>
      <w:r w:rsidRPr="006F69A2">
        <w:t xml:space="preserve">  </w:t>
      </w:r>
    </w:p>
    <w:p w:rsidR="00174EC7" w:rsidRPr="006F69A2" w:rsidP="00174EC7"/>
    <w:p w:rsidR="00174EC7" w:rsidRPr="006F69A2" w:rsidP="00174EC7">
      <w:pPr>
        <w:jc w:val="center"/>
      </w:pPr>
      <w:r w:rsidRPr="006F69A2">
        <w:t>k</w:t>
      </w:r>
      <w:r>
        <w:t> </w:t>
      </w:r>
      <w:r w:rsidRPr="006F69A2">
        <w:t>provedení</w:t>
      </w:r>
      <w:r>
        <w:t xml:space="preserve"> novely </w:t>
      </w:r>
      <w:r w:rsidRPr="006F69A2">
        <w:t>zákona č. 378/2007 Sb., o léčivech a o změnách a doplnění některých souvisejících zákonů, ve znění pozdějších předpisů</w:t>
      </w:r>
    </w:p>
    <w:p w:rsidR="00174EC7" w:rsidRPr="001B4EDC" w:rsidP="00174EC7">
      <w:pPr>
        <w:pStyle w:val="Zkladntext21"/>
      </w:pPr>
    </w:p>
    <w:p w:rsidR="00174EC7" w:rsidP="00174EC7">
      <w:pPr>
        <w:pStyle w:val="Zkladntext21"/>
        <w:numPr>
          <w:ilvl w:val="0"/>
          <w:numId w:val="1"/>
        </w:numPr>
      </w:pPr>
      <w:r w:rsidRPr="00503042">
        <w:t xml:space="preserve">Podle ustanovení § 89 odst. 2 zákona č. 378/2007 Sb., o léčivech, ve znění zákona č.  141/2009 Sb., </w:t>
      </w:r>
      <w:r w:rsidRPr="00D94548">
        <w:rPr>
          <w:b/>
        </w:rPr>
        <w:t>je lékárna povinna převzít nepoužitelná léčiva</w:t>
      </w:r>
      <w:r w:rsidRPr="00503042">
        <w:t xml:space="preserve"> odevzdaná fyzickými osobami. </w:t>
      </w:r>
      <w:r w:rsidRPr="00D94548">
        <w:rPr>
          <w:b/>
        </w:rPr>
        <w:t>Osoby uvedené v § 88 odst. 3 přebírají nepoužitelná léčiva</w:t>
      </w:r>
      <w:r w:rsidRPr="00503042">
        <w:t xml:space="preserve"> od lékáren </w:t>
      </w:r>
      <w:r w:rsidRPr="00D94548">
        <w:rPr>
          <w:b/>
        </w:rPr>
        <w:t>bezúplatně.</w:t>
      </w:r>
      <w:r w:rsidRPr="00503042">
        <w:t xml:space="preserve"> Podle § 89 odst. 2 téhož zákona </w:t>
      </w:r>
      <w:r w:rsidRPr="00D94548">
        <w:rPr>
          <w:b/>
        </w:rPr>
        <w:t>hradí náklady</w:t>
      </w:r>
      <w:r w:rsidRPr="00503042">
        <w:t xml:space="preserve"> </w:t>
      </w:r>
      <w:r w:rsidRPr="00C76E24">
        <w:t>vzniklé s odevzdáním nepoužitelných léčiv a s jejich odstraněním (</w:t>
      </w:r>
      <w:r w:rsidRPr="00C76E24">
        <w:rPr>
          <w:lang w:val="en-US"/>
        </w:rPr>
        <w:t>dále</w:t>
      </w:r>
      <w:r w:rsidRPr="00C76E24">
        <w:t xml:space="preserve"> jen „</w:t>
      </w:r>
      <w:r w:rsidRPr="00C76E24">
        <w:rPr>
          <w:b/>
        </w:rPr>
        <w:t>náklady na likvidaci nepoužitelných léčiv“</w:t>
      </w:r>
      <w:r w:rsidRPr="00C76E24">
        <w:rPr>
          <w:lang w:val="en-US"/>
        </w:rPr>
        <w:t xml:space="preserve">) </w:t>
      </w:r>
      <w:r w:rsidRPr="00C76E24">
        <w:rPr>
          <w:b/>
        </w:rPr>
        <w:t>osobám uvedeným v § 88 odst. 3</w:t>
      </w:r>
      <w:r w:rsidRPr="00C76E24">
        <w:t xml:space="preserve"> zákon</w:t>
      </w:r>
      <w:r w:rsidRPr="00503042">
        <w:t xml:space="preserve">a o léčivech </w:t>
      </w:r>
      <w:r w:rsidRPr="00D94548">
        <w:rPr>
          <w:b/>
        </w:rPr>
        <w:t>stát</w:t>
      </w:r>
      <w:r w:rsidRPr="00503042">
        <w:t xml:space="preserve"> prostřednictvím krajského úřadu, resp.</w:t>
      </w:r>
      <w:r>
        <w:t xml:space="preserve"> Magistrátu</w:t>
      </w:r>
      <w:r w:rsidRPr="00503042">
        <w:t xml:space="preserve"> hl. m. Prahy.</w:t>
      </w:r>
      <w:r>
        <w:t xml:space="preserve"> </w:t>
      </w:r>
    </w:p>
    <w:p w:rsidR="00174EC7" w:rsidRPr="00503042" w:rsidP="00174EC7">
      <w:pPr>
        <w:pStyle w:val="Zkladntext21"/>
        <w:ind w:left="720" w:firstLine="0"/>
      </w:pPr>
      <w:r w:rsidRPr="00503042">
        <w:t>Citace vybraných ustanovení</w:t>
      </w:r>
    </w:p>
    <w:p w:rsidR="00174EC7" w:rsidRPr="00503042" w:rsidP="00174EC7">
      <w:pPr>
        <w:pStyle w:val="Zkladntext21"/>
        <w:ind w:left="720" w:firstLine="0"/>
      </w:pPr>
      <w:r w:rsidRPr="00503042">
        <w:t>§ 89 odst. 2</w:t>
      </w:r>
    </w:p>
    <w:p w:rsidR="00174EC7" w:rsidP="00174EC7">
      <w:pPr>
        <w:pStyle w:val="Zkladntext21"/>
        <w:ind w:left="720" w:firstLine="0"/>
        <w:rPr>
          <w:i/>
          <w:szCs w:val="24"/>
        </w:rPr>
      </w:pPr>
      <w:r w:rsidRPr="002E0438">
        <w:rPr>
          <w:i/>
          <w:szCs w:val="24"/>
        </w:rPr>
        <w:t xml:space="preserve">Nepoužitelná léčiva odevzdaná fyzickými osobami lékárně je lékárna povinna převzít. Osoby uvedené v § 88 odst. 3 přebírají nepoužitelná léčiva od lékáren bezúplatně </w:t>
      </w:r>
      <w:r>
        <w:rPr>
          <w:i/>
          <w:szCs w:val="24"/>
        </w:rPr>
        <w:br/>
      </w:r>
      <w:r w:rsidRPr="002E0438">
        <w:rPr>
          <w:i/>
          <w:szCs w:val="24"/>
        </w:rPr>
        <w:t>s tím, že náklady vzniklé s odevzdáním nepoužitelných léčiv a s jejich odstraněním hradí osobám uvedeným v § 88 odst. 3 stát prostřednictvím krajského úřadu. Pokud krajský úřad lékárně oznámí, které z osob uvedených v § 88 odst. 3 jsou krajským úřadem určeny k bezúplatnému přebírání nepoužitelných léčiv, je lékárna povinna nepoužitelná léčiva předávat těmto osobám, jinak si náklady vzniklé s odevzdáním nepoužitelných léčiv a s jejich odstraněním nese sama.</w:t>
      </w:r>
    </w:p>
    <w:p w:rsidR="00174EC7" w:rsidP="00174EC7">
      <w:pPr>
        <w:pStyle w:val="Zkladntext21"/>
        <w:ind w:left="720" w:firstLine="0"/>
        <w:rPr>
          <w:szCs w:val="24"/>
        </w:rPr>
      </w:pPr>
      <w:r w:rsidRPr="002B210E">
        <w:rPr>
          <w:szCs w:val="24"/>
        </w:rPr>
        <w:t>§ 88 odst</w:t>
      </w:r>
      <w:r>
        <w:rPr>
          <w:szCs w:val="24"/>
        </w:rPr>
        <w:t>. 3</w:t>
      </w:r>
    </w:p>
    <w:p w:rsidR="00174EC7" w:rsidRPr="00F56814" w:rsidP="00174EC7">
      <w:pPr>
        <w:ind w:left="720"/>
        <w:jc w:val="both"/>
        <w:rPr>
          <w:i/>
        </w:rPr>
      </w:pPr>
      <w:r w:rsidRPr="00F56814">
        <w:rPr>
          <w:i/>
        </w:rPr>
        <w:t>Odstraňování nepoužitelných léčiv provádějí právnické nebo fyzické osoby na základě souhlasu uděleného orgán</w:t>
      </w:r>
      <w:r>
        <w:rPr>
          <w:i/>
        </w:rPr>
        <w:t>em kraje v přenesené působnosti</w:t>
      </w:r>
      <w:r w:rsidRPr="00F56814">
        <w:rPr>
          <w:i/>
        </w:rPr>
        <w:t xml:space="preserve"> anebo, jde-li </w:t>
      </w:r>
      <w:r>
        <w:rPr>
          <w:i/>
        </w:rPr>
        <w:br/>
      </w:r>
      <w:r w:rsidRPr="00F56814">
        <w:rPr>
          <w:i/>
        </w:rPr>
        <w:t>o radiofarmaka, Státním úřadem pro jadernou bezpečnost. O udělení souhlasu informuje úřad, který souhlas udělil, Ministerstvo zdravotnictví, jde-li o humánní léčivo, nebo Ministerstvo zemědělství, jde-li o veterinární léčivo, přičemž sdělená informace obsahuje i název technického zařízení sloužícího k odstraňování nepoužitelných léčiv, jehož je příslušná právnická nebo fyzická osoba provozovatelem.</w:t>
      </w:r>
    </w:p>
    <w:p w:rsidR="00174EC7" w:rsidRPr="002B210E" w:rsidP="00174EC7">
      <w:pPr>
        <w:ind w:left="720"/>
        <w:jc w:val="both"/>
      </w:pPr>
      <w:r w:rsidRPr="002B210E">
        <w:t>§ 88 odst. 4</w:t>
      </w:r>
    </w:p>
    <w:p w:rsidR="00174EC7" w:rsidP="00174EC7">
      <w:pPr>
        <w:ind w:left="720"/>
        <w:jc w:val="both"/>
        <w:rPr>
          <w:i/>
        </w:rPr>
      </w:pPr>
      <w:r>
        <w:rPr>
          <w:i/>
        </w:rPr>
        <w:t xml:space="preserve"> </w:t>
      </w:r>
      <w:r w:rsidRPr="00F56814">
        <w:rPr>
          <w:i/>
        </w:rPr>
        <w:t>Osoby uvedené v odstavci 3 jsou povinny vést a uchovávat evidenci odstraněných nepoužitelných léčiv v souladu se zvláštními právními předpisy</w:t>
      </w:r>
      <w:r>
        <w:rPr>
          <w:i/>
        </w:rPr>
        <w:t>.</w:t>
      </w:r>
    </w:p>
    <w:p w:rsidR="00174EC7" w:rsidRPr="00D43167" w:rsidP="00174EC7">
      <w:pPr>
        <w:ind w:left="709" w:hanging="709"/>
        <w:jc w:val="both"/>
        <w:rPr>
          <w:i/>
        </w:rPr>
      </w:pPr>
    </w:p>
    <w:p w:rsidR="00174EC7" w:rsidP="00174EC7">
      <w:pPr>
        <w:pStyle w:val="Zkladntext21"/>
        <w:numPr>
          <w:ilvl w:val="0"/>
          <w:numId w:val="1"/>
        </w:numPr>
      </w:pPr>
      <w:r w:rsidRPr="00D94548">
        <w:rPr>
          <w:b/>
        </w:rPr>
        <w:t>Krajský úřad zpracuje</w:t>
      </w:r>
      <w:r w:rsidRPr="00503042">
        <w:t xml:space="preserve"> na předepsaném jednotném formuláři dle přílohy k metodickému postupu </w:t>
      </w:r>
      <w:r w:rsidRPr="00D94548">
        <w:rPr>
          <w:b/>
        </w:rPr>
        <w:t>soupis nákladů</w:t>
      </w:r>
      <w:r w:rsidRPr="00503042">
        <w:t xml:space="preserve"> </w:t>
      </w:r>
      <w:r>
        <w:t>n</w:t>
      </w:r>
      <w:r w:rsidRPr="00503042">
        <w:t xml:space="preserve">a likvidaci nepoužitelných léčiv (dále jen </w:t>
      </w:r>
      <w:r w:rsidRPr="00D94548">
        <w:rPr>
          <w:b/>
        </w:rPr>
        <w:t>„soupis“</w:t>
      </w:r>
      <w:r w:rsidRPr="00503042">
        <w:t xml:space="preserve">) </w:t>
      </w:r>
      <w:r>
        <w:t xml:space="preserve">uvedených v žádostech doručených </w:t>
      </w:r>
      <w:r w:rsidRPr="00503042">
        <w:t>v uplynulém čtvrtletí ve správním území kraje osobám uvedeným v § 88 odst. 3</w:t>
      </w:r>
      <w:r>
        <w:t>.</w:t>
      </w:r>
    </w:p>
    <w:p w:rsidR="00174EC7" w:rsidRPr="00503042" w:rsidP="00174EC7">
      <w:pPr>
        <w:pStyle w:val="Zkladntext21"/>
        <w:ind w:left="720" w:firstLine="0"/>
      </w:pPr>
    </w:p>
    <w:p w:rsidR="00174EC7" w:rsidP="00174EC7">
      <w:pPr>
        <w:pStyle w:val="Zkladntext21"/>
        <w:numPr>
          <w:ilvl w:val="0"/>
          <w:numId w:val="1"/>
        </w:numPr>
      </w:pPr>
      <w:r w:rsidRPr="00503042">
        <w:t xml:space="preserve"> Správnost údajů na soupisu potvrdí krajský úřad podpisy oprávněných osob, </w:t>
      </w:r>
      <w:r w:rsidRPr="00503042">
        <w:br/>
        <w:t xml:space="preserve">vč. razítka. Krajský úřad takto zpracovaný soupis spolu se žádostí o náhradu nákladů vynaložených osobami uvedených v § 88 odst. 3 (dále jen </w:t>
      </w:r>
      <w:r w:rsidRPr="00D94548">
        <w:rPr>
          <w:b/>
        </w:rPr>
        <w:t>„náhrady“</w:t>
      </w:r>
      <w:r w:rsidRPr="00503042">
        <w:t xml:space="preserve">) předloží Ministerstvu financí, odboru 12 </w:t>
      </w:r>
      <w:r>
        <w:t xml:space="preserve">– Financování územních rozpočtů. </w:t>
      </w:r>
      <w:r w:rsidRPr="00503042">
        <w:t>Odpovědnost za úplnost a věcnou správnost předložených podkladů nese krajský úřad, resp. magistrát hl. m. Prahy.</w:t>
      </w:r>
    </w:p>
    <w:p w:rsidR="00174EC7" w:rsidP="00174EC7">
      <w:pPr>
        <w:pStyle w:val="Zkladntext21"/>
        <w:ind w:left="360" w:firstLine="0"/>
      </w:pPr>
    </w:p>
    <w:p w:rsidR="00174EC7" w:rsidRPr="00503042" w:rsidP="00174EC7">
      <w:pPr>
        <w:pStyle w:val="Zkladntext21"/>
        <w:numPr>
          <w:ilvl w:val="0"/>
          <w:numId w:val="1"/>
        </w:numPr>
      </w:pPr>
      <w:r w:rsidRPr="00503042">
        <w:t xml:space="preserve">Se zpracovaným soupisem </w:t>
      </w:r>
      <w:r w:rsidRPr="00D94548">
        <w:rPr>
          <w:b/>
        </w:rPr>
        <w:t>nejsou předkládány originály prvotních dokladů</w:t>
      </w:r>
      <w:r w:rsidRPr="00503042">
        <w:t xml:space="preserve"> (faktury) či jejich kopie.</w:t>
      </w:r>
      <w:r>
        <w:t xml:space="preserve"> </w:t>
      </w:r>
      <w:r w:rsidRPr="00503042">
        <w:t xml:space="preserve">Originály prvotních dokladů archivuje krajský úřad, resp. </w:t>
      </w:r>
      <w:r>
        <w:t>M</w:t>
      </w:r>
      <w:r w:rsidRPr="00503042">
        <w:t>agistrát hl. m. Prahy podle zákona o archivnictví pro potřebu případných kontrol.</w:t>
      </w:r>
    </w:p>
    <w:p w:rsidR="00174EC7" w:rsidRPr="00503042" w:rsidP="00174EC7">
      <w:pPr>
        <w:pStyle w:val="Zkladntext21"/>
        <w:ind w:firstLine="0"/>
      </w:pPr>
    </w:p>
    <w:p w:rsidR="00174EC7" w:rsidRPr="00503042" w:rsidP="00174EC7">
      <w:pPr>
        <w:pStyle w:val="Zkladntext21"/>
        <w:numPr>
          <w:ilvl w:val="0"/>
          <w:numId w:val="1"/>
        </w:numPr>
      </w:pPr>
      <w:r w:rsidRPr="00503042">
        <w:t>Osoba uvedená v § 88 odst. 3, která je plátcem daně z přidané hodnoty, nesmí tuto daň zahrnout do žádosti o náhradu, pokud může zcela nebo z části uplatnit odpočet daně podle zákona č. 235/2004 Sb., o dani z přidané hodnoty, ve znění pozdějších předpisů. Osoba uvedená v § 88 odst. 3</w:t>
      </w:r>
      <w:r>
        <w:t xml:space="preserve">, </w:t>
      </w:r>
      <w:r w:rsidRPr="00503042">
        <w:t>která není plátcem daně z přidané hodnoty, má nárok na úhradu nákladů včetně daně z přidané hodnoty.</w:t>
      </w:r>
    </w:p>
    <w:p w:rsidR="00174EC7" w:rsidRPr="00503042" w:rsidP="00174EC7">
      <w:pPr>
        <w:pStyle w:val="Zkladntext21"/>
        <w:ind w:firstLine="0"/>
      </w:pPr>
    </w:p>
    <w:p w:rsidR="00174EC7" w:rsidRPr="00503042" w:rsidP="00174EC7">
      <w:pPr>
        <w:pStyle w:val="Zkladntext21"/>
        <w:numPr>
          <w:ilvl w:val="0"/>
          <w:numId w:val="1"/>
        </w:numPr>
      </w:pPr>
      <w:r w:rsidRPr="00D94548">
        <w:rPr>
          <w:b/>
        </w:rPr>
        <w:t>Žádosti</w:t>
      </w:r>
      <w:r w:rsidRPr="00503042">
        <w:t xml:space="preserve"> předkládá krajský úřad, resp. </w:t>
      </w:r>
      <w:r>
        <w:t>M</w:t>
      </w:r>
      <w:r w:rsidRPr="00503042">
        <w:t>agistrát hl. m. Prahy ve čtvrtletních termínech za uplynulé čtvrtletí (nejlépe do 10.</w:t>
      </w:r>
      <w:r>
        <w:t xml:space="preserve"> </w:t>
      </w:r>
      <w:r w:rsidRPr="00503042">
        <w:t>1., 10.</w:t>
      </w:r>
      <w:r>
        <w:t xml:space="preserve"> </w:t>
      </w:r>
      <w:r w:rsidRPr="00503042">
        <w:t>4., 10.</w:t>
      </w:r>
      <w:r>
        <w:t xml:space="preserve"> </w:t>
      </w:r>
      <w:r w:rsidRPr="00503042">
        <w:t>7. a 10.</w:t>
      </w:r>
      <w:r>
        <w:t xml:space="preserve"> </w:t>
      </w:r>
      <w:r w:rsidRPr="00503042">
        <w:t>10.).</w:t>
      </w:r>
    </w:p>
    <w:p w:rsidR="00174EC7" w:rsidRPr="00503042" w:rsidP="00174EC7">
      <w:pPr>
        <w:pStyle w:val="Zkladntext21"/>
        <w:ind w:firstLine="0"/>
      </w:pPr>
    </w:p>
    <w:p w:rsidR="00174EC7" w:rsidRPr="00503042" w:rsidP="00174EC7">
      <w:pPr>
        <w:pStyle w:val="Zkladntext21"/>
        <w:numPr>
          <w:ilvl w:val="0"/>
          <w:numId w:val="1"/>
        </w:numPr>
      </w:pPr>
      <w:r w:rsidRPr="00503042">
        <w:t xml:space="preserve">Ministerstvo financí provede bezodkladně úhradu oprávněných nákladů z kapitoly Všeobecná pokladní správa státního rozpočtu formou náhrady, a to na základě </w:t>
      </w:r>
      <w:r w:rsidRPr="00503042">
        <w:t>předložené žádosti obsahující soupis (viz výše). O uvolnění fin</w:t>
      </w:r>
      <w:r>
        <w:t xml:space="preserve">ančních prostředků krajský úřad, resp. Magistrát hl. m. Prahy </w:t>
      </w:r>
      <w:r w:rsidRPr="00503042">
        <w:t xml:space="preserve">obdrží </w:t>
      </w:r>
      <w:r w:rsidRPr="00D94548">
        <w:rPr>
          <w:b/>
        </w:rPr>
        <w:t>písemné avízo</w:t>
      </w:r>
      <w:r w:rsidRPr="00503042">
        <w:t>.</w:t>
      </w:r>
    </w:p>
    <w:p w:rsidR="00174EC7" w:rsidRPr="00503042" w:rsidP="00174EC7">
      <w:pPr>
        <w:pStyle w:val="Zkladntext21"/>
        <w:ind w:firstLine="0"/>
      </w:pPr>
    </w:p>
    <w:p w:rsidR="00174EC7" w:rsidRPr="00503042" w:rsidP="00174EC7">
      <w:pPr>
        <w:pStyle w:val="Zkladntext21"/>
        <w:numPr>
          <w:ilvl w:val="0"/>
          <w:numId w:val="1"/>
        </w:numPr>
      </w:pPr>
      <w:r w:rsidRPr="00503042">
        <w:t>Použití rozpočtové skladby:</w:t>
      </w:r>
    </w:p>
    <w:p w:rsidR="00174EC7" w:rsidRPr="00503042" w:rsidP="00174EC7">
      <w:pPr>
        <w:pStyle w:val="Zkladntext21"/>
        <w:ind w:left="709" w:firstLine="0"/>
      </w:pPr>
      <w:r w:rsidRPr="00503042">
        <w:t>Kraj</w:t>
      </w:r>
      <w:r>
        <w:t>, resp. hl. m. Praha</w:t>
      </w:r>
      <w:r w:rsidRPr="00503042">
        <w:t xml:space="preserve"> příjme finanční prostředky na položku 5</w:t>
      </w:r>
      <w:r>
        <w:t>811</w:t>
      </w:r>
      <w:r w:rsidRPr="00503042">
        <w:t xml:space="preserve"> –</w:t>
      </w:r>
      <w:r>
        <w:t xml:space="preserve"> Výdaje na náhrady za nezpůsobenou újmu </w:t>
      </w:r>
      <w:r w:rsidRPr="00503042">
        <w:t xml:space="preserve">mínusovým zápisem a výdaje zaznamená na položku </w:t>
      </w:r>
      <w:r>
        <w:br/>
      </w:r>
      <w:r w:rsidRPr="00503042">
        <w:t>5</w:t>
      </w:r>
      <w:r>
        <w:t>811</w:t>
      </w:r>
      <w:r w:rsidRPr="00503042">
        <w:t xml:space="preserve"> –</w:t>
      </w:r>
      <w:r>
        <w:t xml:space="preserve"> Výdaje za nezpůsobenou újmu </w:t>
      </w:r>
      <w:r w:rsidRPr="00503042">
        <w:t xml:space="preserve">plusovým zápisem. Z hlediska odvětvového třídění rozpočtové skladby budou finanční prostředky zatříděny na paragraf </w:t>
      </w:r>
      <w:r>
        <w:br/>
      </w:r>
      <w:r w:rsidRPr="00503042">
        <w:t xml:space="preserve">3532 – Lékárenská služba. </w:t>
      </w:r>
    </w:p>
    <w:p w:rsidR="00174EC7" w:rsidRPr="00503042" w:rsidP="00174EC7">
      <w:pPr>
        <w:pStyle w:val="Zkladntext21"/>
        <w:ind w:left="720" w:firstLine="0"/>
      </w:pPr>
    </w:p>
    <w:p w:rsidR="00174EC7" w:rsidRPr="00503042" w:rsidP="00174EC7">
      <w:pPr>
        <w:pStyle w:val="Zkladntext21"/>
        <w:numPr>
          <w:ilvl w:val="0"/>
          <w:numId w:val="1"/>
        </w:numPr>
      </w:pPr>
      <w:r w:rsidRPr="00503042">
        <w:t xml:space="preserve">Účetní zachycení: </w:t>
      </w:r>
    </w:p>
    <w:p w:rsidR="00174EC7" w:rsidRPr="00503042" w:rsidP="00174EC7">
      <w:pPr>
        <w:pStyle w:val="Zkladntext21"/>
        <w:ind w:firstLine="0"/>
      </w:pPr>
      <w:r w:rsidRPr="00503042">
        <w:tab/>
        <w:t>účty 231/375</w:t>
      </w:r>
    </w:p>
    <w:p w:rsidR="00174EC7" w:rsidRPr="00503042" w:rsidP="00174EC7">
      <w:pPr>
        <w:pStyle w:val="Zkladntext21"/>
        <w:ind w:firstLine="0"/>
      </w:pPr>
      <w:r w:rsidRPr="00503042">
        <w:t xml:space="preserve">            účty 375/231.</w:t>
      </w:r>
    </w:p>
    <w:p w:rsidR="00174EC7" w:rsidRPr="00503042" w:rsidP="00174EC7">
      <w:pPr>
        <w:pStyle w:val="Zkladntext21"/>
        <w:ind w:firstLine="0"/>
      </w:pPr>
    </w:p>
    <w:p w:rsidR="00174EC7" w:rsidRPr="00503042" w:rsidP="00174EC7">
      <w:pPr>
        <w:pStyle w:val="Zkladntext21"/>
        <w:numPr>
          <w:ilvl w:val="0"/>
          <w:numId w:val="1"/>
        </w:numPr>
      </w:pPr>
      <w:r w:rsidRPr="00503042">
        <w:t xml:space="preserve">Poskytnuté náhrady nejsou sledovány pod účelovými znaky a </w:t>
      </w:r>
      <w:r w:rsidRPr="00D94548">
        <w:rPr>
          <w:b/>
        </w:rPr>
        <w:t xml:space="preserve">nepodléhají finančnímu vypořádání </w:t>
      </w:r>
      <w:r w:rsidRPr="00503042">
        <w:t>se státním rozpočtem za příslušný rozpočtový rok.</w:t>
      </w:r>
    </w:p>
    <w:p w:rsidR="00174EC7" w:rsidRPr="00503042" w:rsidP="00174EC7">
      <w:pPr>
        <w:pStyle w:val="Zkladntext21"/>
        <w:ind w:firstLine="0"/>
      </w:pPr>
    </w:p>
    <w:p w:rsidR="00174EC7" w:rsidRPr="00503042" w:rsidP="00174EC7">
      <w:pPr>
        <w:pStyle w:val="Zkladntext21"/>
        <w:numPr>
          <w:ilvl w:val="0"/>
          <w:numId w:val="1"/>
        </w:numPr>
      </w:pPr>
      <w:r w:rsidRPr="00503042">
        <w:t>Finanční prostředky budou zasílány na účty krajů vedených u ČNB.</w:t>
      </w:r>
    </w:p>
    <w:p w:rsidR="00174EC7" w:rsidRPr="00503042" w:rsidP="00174EC7">
      <w:pPr>
        <w:pStyle w:val="Zkladntext21"/>
        <w:ind w:firstLine="0"/>
      </w:pPr>
    </w:p>
    <w:p w:rsidR="00174EC7" w:rsidRPr="00503042" w:rsidP="00174EC7">
      <w:pPr>
        <w:pStyle w:val="Zkladntext21"/>
        <w:numPr>
          <w:ilvl w:val="0"/>
          <w:numId w:val="1"/>
        </w:numPr>
      </w:pPr>
      <w:r w:rsidRPr="00503042">
        <w:t xml:space="preserve"> Metodický postup čj. </w:t>
      </w:r>
      <w:r>
        <w:t>MF-28980/2019/1201</w:t>
      </w:r>
      <w:r w:rsidRPr="00503042">
        <w:t xml:space="preserve"> se zrušuje.</w:t>
      </w:r>
    </w:p>
    <w:p w:rsidR="00174EC7" w:rsidRPr="00503042" w:rsidP="00174EC7">
      <w:pPr>
        <w:pStyle w:val="BodyText"/>
      </w:pPr>
    </w:p>
    <w:p w:rsidR="00174EC7" w:rsidRPr="00503042" w:rsidP="00174EC7">
      <w:pPr>
        <w:pStyle w:val="BodyText"/>
      </w:pPr>
      <w:r w:rsidRPr="00D94548">
        <w:rPr>
          <w:b/>
        </w:rPr>
        <w:t>Přílohy</w:t>
      </w:r>
      <w:r w:rsidRPr="00503042">
        <w:t>:</w:t>
      </w:r>
    </w:p>
    <w:p w:rsidR="00174EC7" w:rsidRPr="001B4EDC" w:rsidP="00174EC7">
      <w:pPr>
        <w:pStyle w:val="BodyText"/>
        <w:ind w:left="720" w:hanging="11"/>
      </w:pPr>
      <w:r w:rsidRPr="001B4EDC">
        <w:t xml:space="preserve">Soupis nákladů vzniklých </w:t>
      </w:r>
      <w:r>
        <w:t xml:space="preserve">osobám uvedeným v § 88 odst. 3 </w:t>
      </w:r>
      <w:r w:rsidRPr="001B4EDC">
        <w:t xml:space="preserve">s odevzdáním nepoužitelných léčiv a s jejich likvidací/zneškodněním </w:t>
      </w:r>
      <w:r w:rsidRPr="00DC1C05">
        <w:t xml:space="preserve">(zákon č. 378/2007 Sb., </w:t>
      </w:r>
      <w:r>
        <w:br/>
      </w:r>
      <w:r w:rsidRPr="00DC1C05">
        <w:t>ve znění pozdějších předpisů)</w:t>
      </w:r>
    </w:p>
    <w:p w:rsidR="00174EC7" w:rsidP="00174EC7">
      <w:pPr>
        <w:pStyle w:val="BodyText"/>
        <w:ind w:firstLine="708"/>
      </w:pPr>
    </w:p>
    <w:p w:rsidR="00095471" w:rsidP="00095471">
      <w:pPr>
        <w:jc w:val="center"/>
      </w:pPr>
      <w:r>
        <w:t>________________________________</w:t>
      </w:r>
    </w:p>
    <w:p w:rsidR="00095471" w:rsidP="00095471">
      <w:pPr>
        <w:jc w:val="center"/>
      </w:pPr>
      <w:r>
        <w:t>_____________________________</w:t>
      </w:r>
    </w:p>
    <w:p w:rsidR="00095471" w:rsidP="00095471">
      <w:pPr>
        <w:jc w:val="center"/>
      </w:pPr>
      <w:r>
        <w:t>________________________</w:t>
      </w:r>
    </w:p>
    <w:p w:rsidR="00174EC7" w:rsidP="00174EC7">
      <w:pPr>
        <w:pStyle w:val="BodyText"/>
        <w:ind w:firstLine="708"/>
      </w:pPr>
    </w:p>
    <w:p w:rsidR="00174EC7" w:rsidP="00174EC7">
      <w:pPr>
        <w:pStyle w:val="BodyText"/>
        <w:ind w:firstLine="708"/>
      </w:pPr>
    </w:p>
    <w:p w:rsidR="003A0F18">
      <w:r>
        <w:br w:type="page"/>
      </w:r>
    </w:p>
    <w:p w:rsidR="00D86267">
      <w:pPr>
        <w:rPr>
          <w:rFonts w:ascii="Calibri" w:hAnsi="Calibri"/>
          <w:b/>
          <w:bCs/>
          <w:color w:val="000000"/>
          <w:sz w:val="22"/>
          <w:szCs w:val="22"/>
        </w:rPr>
        <w:sectPr w:rsidSect="0042214E">
          <w:headerReference w:type="default" r:id="rId5"/>
          <w:pgSz w:w="11906" w:h="16838"/>
          <w:pgMar w:top="1417" w:right="1417" w:bottom="1417" w:left="1417" w:header="708" w:footer="708" w:gutter="0"/>
          <w:cols w:space="708"/>
          <w:titlePg/>
          <w:docGrid w:linePitch="360"/>
        </w:sectPr>
      </w:pPr>
    </w:p>
    <w:tbl>
      <w:tblPr>
        <w:tblW w:w="0" w:type="auto"/>
        <w:tblCellMar>
          <w:left w:w="70" w:type="dxa"/>
          <w:right w:w="70" w:type="dxa"/>
        </w:tblCellMar>
        <w:tblLook w:val="04A0"/>
      </w:tblPr>
      <w:tblGrid>
        <w:gridCol w:w="2922"/>
        <w:gridCol w:w="3669"/>
        <w:gridCol w:w="1276"/>
        <w:gridCol w:w="1984"/>
        <w:gridCol w:w="2693"/>
        <w:gridCol w:w="818"/>
        <w:gridCol w:w="90"/>
        <w:gridCol w:w="146"/>
        <w:gridCol w:w="146"/>
        <w:gridCol w:w="146"/>
        <w:gridCol w:w="160"/>
      </w:tblGrid>
      <w:tr w:rsidTr="005A41AF">
        <w:tblPrEx>
          <w:tblW w:w="0" w:type="auto"/>
          <w:tblCellMar>
            <w:left w:w="70" w:type="dxa"/>
            <w:right w:w="70" w:type="dxa"/>
          </w:tblCellMar>
          <w:tblLook w:val="04A0"/>
        </w:tblPrEx>
        <w:trPr>
          <w:trHeight w:val="300"/>
        </w:trPr>
        <w:tc>
          <w:tcPr>
            <w:tcW w:w="13452" w:type="dxa"/>
            <w:gridSpan w:val="7"/>
            <w:tcBorders>
              <w:top w:val="nil"/>
              <w:left w:val="nil"/>
              <w:bottom w:val="nil"/>
              <w:right w:val="nil"/>
            </w:tcBorders>
            <w:shd w:val="clear" w:color="auto" w:fill="auto"/>
            <w:noWrap/>
            <w:vAlign w:val="bottom"/>
            <w:hideMark/>
          </w:tcPr>
          <w:p w:rsidR="00D86267">
            <w:pPr>
              <w:rPr>
                <w:rFonts w:ascii="Calibri" w:hAnsi="Calibri"/>
                <w:b/>
                <w:bCs/>
                <w:color w:val="000000"/>
                <w:sz w:val="22"/>
                <w:szCs w:val="22"/>
              </w:rPr>
            </w:pPr>
            <w:r>
              <w:rPr>
                <w:rFonts w:ascii="Calibri" w:hAnsi="Calibri"/>
                <w:b/>
                <w:bCs/>
                <w:color w:val="000000"/>
                <w:sz w:val="22"/>
                <w:szCs w:val="22"/>
              </w:rPr>
              <w:t>Krajský úřad:</w:t>
            </w: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pPr>
              <w:jc w:val="right"/>
              <w:rPr>
                <w:rFonts w:ascii="Calibri" w:hAnsi="Calibri"/>
                <w:color w:val="000000"/>
                <w:sz w:val="22"/>
                <w:szCs w:val="22"/>
              </w:rPr>
            </w:pPr>
          </w:p>
        </w:tc>
      </w:tr>
      <w:tr w:rsidTr="005A41AF">
        <w:tblPrEx>
          <w:tblW w:w="0" w:type="auto"/>
          <w:tblCellMar>
            <w:left w:w="70" w:type="dxa"/>
            <w:right w:w="70" w:type="dxa"/>
          </w:tblCellMar>
          <w:tblLook w:val="04A0"/>
        </w:tblPrEx>
        <w:trPr>
          <w:trHeight w:val="300"/>
        </w:trPr>
        <w:tc>
          <w:tcPr>
            <w:tcW w:w="13452" w:type="dxa"/>
            <w:gridSpan w:val="7"/>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r>
      <w:tr w:rsidTr="005A41AF">
        <w:tblPrEx>
          <w:tblW w:w="0" w:type="auto"/>
          <w:tblCellMar>
            <w:left w:w="70" w:type="dxa"/>
            <w:right w:w="70" w:type="dxa"/>
          </w:tblCellMar>
          <w:tblLook w:val="04A0"/>
        </w:tblPrEx>
        <w:trPr>
          <w:gridAfter w:val="5"/>
          <w:wAfter w:w="688" w:type="dxa"/>
          <w:trHeight w:val="300"/>
        </w:trPr>
        <w:tc>
          <w:tcPr>
            <w:tcW w:w="13362" w:type="dxa"/>
            <w:gridSpan w:val="6"/>
            <w:tcBorders>
              <w:top w:val="nil"/>
              <w:left w:val="nil"/>
              <w:bottom w:val="nil"/>
              <w:right w:val="nil"/>
            </w:tcBorders>
            <w:shd w:val="clear" w:color="auto" w:fill="auto"/>
            <w:vAlign w:val="center"/>
            <w:hideMark/>
          </w:tcPr>
          <w:p w:rsidR="00D86267">
            <w:pPr>
              <w:jc w:val="center"/>
              <w:rPr>
                <w:rFonts w:ascii="Calibri" w:hAnsi="Calibri"/>
                <w:b/>
                <w:bCs/>
                <w:color w:val="000000"/>
              </w:rPr>
            </w:pPr>
            <w:r>
              <w:rPr>
                <w:rFonts w:ascii="Calibri" w:hAnsi="Calibri"/>
                <w:b/>
                <w:bCs/>
                <w:color w:val="000000"/>
              </w:rPr>
              <w:t xml:space="preserve">Soupis nákladů souvisejících s odevzdáním nepoužitelných léčiv a s jejich likvidací/zneškodněním </w:t>
            </w:r>
          </w:p>
        </w:tc>
      </w:tr>
      <w:tr w:rsidTr="005A41AF">
        <w:tblPrEx>
          <w:tblW w:w="0" w:type="auto"/>
          <w:tblCellMar>
            <w:left w:w="70" w:type="dxa"/>
            <w:right w:w="70" w:type="dxa"/>
          </w:tblCellMar>
          <w:tblLook w:val="04A0"/>
        </w:tblPrEx>
        <w:trPr>
          <w:gridAfter w:val="5"/>
          <w:wAfter w:w="688" w:type="dxa"/>
          <w:trHeight w:val="300"/>
        </w:trPr>
        <w:tc>
          <w:tcPr>
            <w:tcW w:w="13362" w:type="dxa"/>
            <w:gridSpan w:val="6"/>
            <w:tcBorders>
              <w:top w:val="nil"/>
              <w:left w:val="nil"/>
              <w:bottom w:val="nil"/>
              <w:right w:val="nil"/>
            </w:tcBorders>
            <w:shd w:val="clear" w:color="auto" w:fill="auto"/>
            <w:vAlign w:val="center"/>
            <w:hideMark/>
          </w:tcPr>
          <w:p w:rsidR="00D86267">
            <w:pPr>
              <w:jc w:val="center"/>
              <w:rPr>
                <w:rFonts w:ascii="Calibri" w:hAnsi="Calibri"/>
                <w:color w:val="000000"/>
              </w:rPr>
            </w:pPr>
            <w:r>
              <w:rPr>
                <w:rFonts w:ascii="Calibri" w:hAnsi="Calibri"/>
                <w:color w:val="000000"/>
              </w:rPr>
              <w:t>(zákon č. 378/2007 Sb., ve znění pozdějších předpisů)</w:t>
            </w:r>
          </w:p>
        </w:tc>
      </w:tr>
      <w:tr w:rsidTr="0081252D">
        <w:tblPrEx>
          <w:tblW w:w="0" w:type="auto"/>
          <w:tblCellMar>
            <w:left w:w="70" w:type="dxa"/>
            <w:right w:w="70" w:type="dxa"/>
          </w:tblCellMar>
          <w:tblLook w:val="04A0"/>
        </w:tblPrEx>
        <w:trPr>
          <w:trHeight w:val="315"/>
        </w:trPr>
        <w:tc>
          <w:tcPr>
            <w:tcW w:w="7867" w:type="dxa"/>
            <w:gridSpan w:val="3"/>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3893" w:type="dxa"/>
            <w:gridSpan w:val="5"/>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0" w:type="auto"/>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60"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r>
      <w:tr w:rsidTr="0081252D">
        <w:tblPrEx>
          <w:tblW w:w="0" w:type="auto"/>
          <w:tblCellMar>
            <w:left w:w="70" w:type="dxa"/>
            <w:right w:w="70" w:type="dxa"/>
          </w:tblCellMar>
          <w:tblLook w:val="04A0"/>
        </w:tblPrEx>
        <w:trPr>
          <w:gridAfter w:val="6"/>
          <w:wAfter w:w="1506" w:type="dxa"/>
          <w:trHeight w:val="449"/>
        </w:trPr>
        <w:tc>
          <w:tcPr>
            <w:tcW w:w="29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6267">
            <w:pPr>
              <w:jc w:val="center"/>
              <w:rPr>
                <w:rFonts w:ascii="Calibri" w:hAnsi="Calibri"/>
                <w:b/>
                <w:bCs/>
                <w:color w:val="000000"/>
                <w:sz w:val="22"/>
                <w:szCs w:val="22"/>
              </w:rPr>
            </w:pPr>
            <w:r>
              <w:rPr>
                <w:rFonts w:ascii="Calibri" w:hAnsi="Calibri"/>
                <w:b/>
                <w:bCs/>
                <w:color w:val="000000"/>
                <w:sz w:val="22"/>
                <w:szCs w:val="22"/>
              </w:rPr>
              <w:t>Osoba uvedená v § 88 odst. 3</w:t>
            </w:r>
          </w:p>
        </w:tc>
        <w:tc>
          <w:tcPr>
            <w:tcW w:w="3669" w:type="dxa"/>
            <w:tcBorders>
              <w:top w:val="single" w:sz="8" w:space="0" w:color="auto"/>
              <w:left w:val="nil"/>
              <w:bottom w:val="single" w:sz="8" w:space="0" w:color="auto"/>
              <w:right w:val="single" w:sz="8" w:space="0" w:color="auto"/>
            </w:tcBorders>
            <w:shd w:val="clear" w:color="auto" w:fill="auto"/>
            <w:vAlign w:val="center"/>
            <w:hideMark/>
          </w:tcPr>
          <w:p w:rsidR="00D86267">
            <w:pPr>
              <w:jc w:val="center"/>
              <w:rPr>
                <w:rFonts w:ascii="Calibri" w:hAnsi="Calibri"/>
                <w:b/>
                <w:bCs/>
                <w:color w:val="000000"/>
                <w:sz w:val="22"/>
                <w:szCs w:val="22"/>
              </w:rPr>
            </w:pPr>
            <w:r>
              <w:rPr>
                <w:rFonts w:ascii="Calibri" w:hAnsi="Calibri"/>
                <w:b/>
                <w:bCs/>
                <w:color w:val="000000"/>
                <w:sz w:val="22"/>
                <w:szCs w:val="22"/>
              </w:rPr>
              <w:t>Adresa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86267">
            <w:pPr>
              <w:jc w:val="center"/>
              <w:rPr>
                <w:rFonts w:ascii="Calibri" w:hAnsi="Calibri"/>
                <w:b/>
                <w:bCs/>
                <w:color w:val="000000"/>
                <w:sz w:val="22"/>
                <w:szCs w:val="22"/>
              </w:rPr>
            </w:pPr>
            <w:r>
              <w:rPr>
                <w:rFonts w:ascii="Calibri" w:hAnsi="Calibri"/>
                <w:b/>
                <w:bCs/>
                <w:color w:val="000000"/>
                <w:sz w:val="22"/>
                <w:szCs w:val="22"/>
              </w:rPr>
              <w:t>IČ</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D86267">
            <w:pPr>
              <w:jc w:val="center"/>
              <w:rPr>
                <w:rFonts w:ascii="Calibri" w:hAnsi="Calibri"/>
                <w:b/>
                <w:bCs/>
                <w:color w:val="000000"/>
                <w:sz w:val="22"/>
                <w:szCs w:val="22"/>
              </w:rPr>
            </w:pPr>
            <w:r>
              <w:rPr>
                <w:rFonts w:ascii="Calibri" w:hAnsi="Calibri"/>
                <w:b/>
                <w:bCs/>
                <w:color w:val="000000"/>
                <w:sz w:val="22"/>
                <w:szCs w:val="22"/>
              </w:rPr>
              <w:t>Období, za které náklady vznikly</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D86267">
            <w:pPr>
              <w:jc w:val="center"/>
              <w:rPr>
                <w:rFonts w:ascii="Calibri" w:hAnsi="Calibri"/>
                <w:b/>
                <w:bCs/>
                <w:color w:val="000000"/>
                <w:sz w:val="22"/>
                <w:szCs w:val="22"/>
              </w:rPr>
            </w:pPr>
            <w:r>
              <w:rPr>
                <w:rFonts w:ascii="Calibri" w:hAnsi="Calibri"/>
                <w:b/>
                <w:bCs/>
                <w:color w:val="000000"/>
                <w:sz w:val="22"/>
                <w:szCs w:val="22"/>
              </w:rPr>
              <w:t>Požadovaná částka náhrady (v Kč)</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4"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02"/>
        </w:trPr>
        <w:tc>
          <w:tcPr>
            <w:tcW w:w="2922" w:type="dxa"/>
            <w:tcBorders>
              <w:top w:val="nil"/>
              <w:left w:val="single" w:sz="8" w:space="0" w:color="auto"/>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3669" w:type="dxa"/>
            <w:tcBorders>
              <w:top w:val="nil"/>
              <w:left w:val="nil"/>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1984" w:type="dxa"/>
            <w:tcBorders>
              <w:top w:val="nil"/>
              <w:left w:val="nil"/>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c>
          <w:tcPr>
            <w:tcW w:w="2693" w:type="dxa"/>
            <w:tcBorders>
              <w:top w:val="nil"/>
              <w:left w:val="nil"/>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450"/>
        </w:trPr>
        <w:tc>
          <w:tcPr>
            <w:tcW w:w="2922" w:type="dxa"/>
            <w:tcBorders>
              <w:top w:val="nil"/>
              <w:left w:val="single" w:sz="8" w:space="0" w:color="auto"/>
              <w:bottom w:val="single" w:sz="8" w:space="0" w:color="auto"/>
              <w:right w:val="single" w:sz="8" w:space="0" w:color="auto"/>
            </w:tcBorders>
            <w:shd w:val="clear" w:color="auto" w:fill="auto"/>
            <w:noWrap/>
            <w:vAlign w:val="bottom"/>
            <w:hideMark/>
          </w:tcPr>
          <w:p w:rsidR="00D86267">
            <w:pPr>
              <w:rPr>
                <w:rFonts w:ascii="Calibri" w:hAnsi="Calibri"/>
                <w:b/>
                <w:bCs/>
                <w:color w:val="000000"/>
                <w:sz w:val="22"/>
                <w:szCs w:val="22"/>
              </w:rPr>
            </w:pPr>
            <w:r>
              <w:rPr>
                <w:rFonts w:ascii="Calibri" w:hAnsi="Calibri"/>
                <w:b/>
                <w:bCs/>
                <w:color w:val="000000"/>
                <w:sz w:val="22"/>
                <w:szCs w:val="22"/>
              </w:rPr>
              <w:t>CELKEM</w:t>
            </w:r>
          </w:p>
        </w:tc>
        <w:tc>
          <w:tcPr>
            <w:tcW w:w="3669"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D86267">
            <w:pPr>
              <w:rPr>
                <w:rFonts w:ascii="Calibri" w:hAnsi="Calibri"/>
                <w:color w:val="000000"/>
                <w:sz w:val="22"/>
                <w:szCs w:val="22"/>
              </w:rPr>
            </w:pPr>
            <w:r>
              <w:rPr>
                <w:rFonts w:ascii="Calibri" w:hAnsi="Calibri"/>
                <w:color w:val="000000"/>
                <w:sz w:val="22"/>
                <w:szCs w:val="22"/>
              </w:rPr>
              <w:t> </w:t>
            </w:r>
          </w:p>
        </w:tc>
      </w:tr>
      <w:tr w:rsidTr="0081252D">
        <w:tblPrEx>
          <w:tblW w:w="0" w:type="auto"/>
          <w:tblCellMar>
            <w:left w:w="70" w:type="dxa"/>
            <w:right w:w="70" w:type="dxa"/>
          </w:tblCellMar>
          <w:tblLook w:val="04A0"/>
        </w:tblPrEx>
        <w:trPr>
          <w:gridAfter w:val="6"/>
          <w:wAfter w:w="1506" w:type="dxa"/>
          <w:trHeight w:val="300"/>
        </w:trPr>
        <w:tc>
          <w:tcPr>
            <w:tcW w:w="2922"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3669"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r>
      <w:tr w:rsidTr="0081252D">
        <w:tblPrEx>
          <w:tblW w:w="0" w:type="auto"/>
          <w:tblCellMar>
            <w:left w:w="70" w:type="dxa"/>
            <w:right w:w="70" w:type="dxa"/>
          </w:tblCellMar>
          <w:tblLook w:val="04A0"/>
        </w:tblPrEx>
        <w:trPr>
          <w:gridAfter w:val="6"/>
          <w:wAfter w:w="1506" w:type="dxa"/>
          <w:trHeight w:val="375"/>
        </w:trPr>
        <w:tc>
          <w:tcPr>
            <w:tcW w:w="2922" w:type="dxa"/>
            <w:tcBorders>
              <w:top w:val="nil"/>
              <w:left w:val="nil"/>
              <w:bottom w:val="nil"/>
              <w:right w:val="nil"/>
            </w:tcBorders>
            <w:shd w:val="clear" w:color="auto" w:fill="auto"/>
            <w:noWrap/>
            <w:vAlign w:val="bottom"/>
            <w:hideMark/>
          </w:tcPr>
          <w:p w:rsidR="00D86267">
            <w:pPr>
              <w:rPr>
                <w:rFonts w:ascii="Calibri" w:hAnsi="Calibri"/>
                <w:b/>
                <w:bCs/>
                <w:color w:val="000000"/>
                <w:sz w:val="22"/>
                <w:szCs w:val="22"/>
              </w:rPr>
            </w:pPr>
            <w:r>
              <w:rPr>
                <w:rFonts w:ascii="Calibri" w:hAnsi="Calibri"/>
                <w:b/>
                <w:bCs/>
                <w:color w:val="000000"/>
                <w:sz w:val="22"/>
                <w:szCs w:val="22"/>
              </w:rPr>
              <w:t>Jméno a telefon zodpovědné osoby:</w:t>
            </w:r>
          </w:p>
        </w:tc>
        <w:tc>
          <w:tcPr>
            <w:tcW w:w="3669"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r>
      <w:tr w:rsidTr="0081252D">
        <w:tblPrEx>
          <w:tblW w:w="0" w:type="auto"/>
          <w:tblCellMar>
            <w:left w:w="70" w:type="dxa"/>
            <w:right w:w="70" w:type="dxa"/>
          </w:tblCellMar>
          <w:tblLook w:val="04A0"/>
        </w:tblPrEx>
        <w:trPr>
          <w:gridAfter w:val="6"/>
          <w:wAfter w:w="1506" w:type="dxa"/>
          <w:trHeight w:val="300"/>
        </w:trPr>
        <w:tc>
          <w:tcPr>
            <w:tcW w:w="2922" w:type="dxa"/>
            <w:tcBorders>
              <w:top w:val="nil"/>
              <w:left w:val="nil"/>
              <w:bottom w:val="nil"/>
              <w:right w:val="nil"/>
            </w:tcBorders>
            <w:shd w:val="clear" w:color="auto" w:fill="auto"/>
            <w:noWrap/>
            <w:vAlign w:val="bottom"/>
            <w:hideMark/>
          </w:tcPr>
          <w:p w:rsidR="00D86267">
            <w:pPr>
              <w:rPr>
                <w:rFonts w:ascii="Calibri" w:hAnsi="Calibri"/>
                <w:b/>
                <w:bCs/>
                <w:color w:val="000000"/>
                <w:sz w:val="22"/>
                <w:szCs w:val="22"/>
              </w:rPr>
            </w:pPr>
            <w:r>
              <w:rPr>
                <w:rFonts w:ascii="Calibri" w:hAnsi="Calibri"/>
                <w:b/>
                <w:bCs/>
                <w:color w:val="000000"/>
                <w:sz w:val="22"/>
                <w:szCs w:val="22"/>
              </w:rPr>
              <w:t>Razítko</w:t>
            </w:r>
          </w:p>
        </w:tc>
        <w:tc>
          <w:tcPr>
            <w:tcW w:w="3669"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1984"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c>
          <w:tcPr>
            <w:tcW w:w="2693" w:type="dxa"/>
            <w:tcBorders>
              <w:top w:val="nil"/>
              <w:left w:val="nil"/>
              <w:bottom w:val="nil"/>
              <w:right w:val="nil"/>
            </w:tcBorders>
            <w:shd w:val="clear" w:color="auto" w:fill="auto"/>
            <w:noWrap/>
            <w:vAlign w:val="bottom"/>
            <w:hideMark/>
          </w:tcPr>
          <w:p w:rsidR="00D86267">
            <w:pPr>
              <w:rPr>
                <w:rFonts w:ascii="Calibri" w:hAnsi="Calibri"/>
                <w:color w:val="000000"/>
                <w:sz w:val="22"/>
                <w:szCs w:val="22"/>
              </w:rPr>
            </w:pPr>
          </w:p>
        </w:tc>
      </w:tr>
    </w:tbl>
    <w:p w:rsidR="00E52CDF" w:rsidP="00E52CDF">
      <w:pPr>
        <w:sectPr w:rsidSect="00E52CDF">
          <w:pgSz w:w="16838" w:h="11906" w:orient="landscape"/>
          <w:pgMar w:top="1418" w:right="1418" w:bottom="1418" w:left="1418" w:header="709" w:footer="709" w:gutter="0"/>
          <w:cols w:space="708"/>
          <w:titlePg/>
          <w:docGrid w:linePitch="360"/>
        </w:sectPr>
      </w:pPr>
    </w:p>
    <w:p w:rsidR="00174EC7" w:rsidP="00E52CDF"/>
    <w:sectPr w:rsidSect="0042214E">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6473333"/>
      <w:docPartObj>
        <w:docPartGallery w:val="Page Numbers (Top of Page)"/>
        <w:docPartUnique/>
      </w:docPartObj>
    </w:sdtPr>
    <w:sdtContent>
      <w:p w:rsidR="003E0DE5">
        <w:pPr>
          <w:pStyle w:val="Header"/>
          <w:jc w:val="center"/>
        </w:pPr>
        <w:r>
          <w:fldChar w:fldCharType="begin"/>
        </w:r>
        <w:r>
          <w:instrText>PAGE   \* MERGEFORMAT</w:instrText>
        </w:r>
        <w:r>
          <w:fldChar w:fldCharType="separate"/>
        </w:r>
        <w:r w:rsidR="007C05B2">
          <w:rPr>
            <w:noProof/>
          </w:rPr>
          <w:t>6</w:t>
        </w:r>
        <w:r>
          <w:fldChar w:fldCharType="end"/>
        </w:r>
      </w:p>
    </w:sdtContent>
  </w:sdt>
  <w:p w:rsidR="003E0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F73301"/>
    <w:multiLevelType w:val="hybridMultilevel"/>
    <w:tmpl w:val="0A8852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Nadpis1Char"/>
    <w:qFormat/>
    <w:rsid w:val="00174EC7"/>
    <w:pPr>
      <w:spacing w:before="100" w:beforeAutospacing="1" w:after="100" w:afterAutospacing="1"/>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98"/>
    <w:pPr>
      <w:ind w:left="720"/>
      <w:contextualSpacing/>
    </w:pPr>
  </w:style>
  <w:style w:type="paragraph" w:styleId="Header">
    <w:name w:val="header"/>
    <w:basedOn w:val="Normal"/>
    <w:link w:val="ZhlavChar"/>
    <w:uiPriority w:val="99"/>
    <w:rsid w:val="003E0DE5"/>
    <w:pPr>
      <w:tabs>
        <w:tab w:val="center" w:pos="4536"/>
        <w:tab w:val="right" w:pos="9072"/>
      </w:tabs>
    </w:pPr>
  </w:style>
  <w:style w:type="character" w:customStyle="1" w:styleId="ZhlavChar">
    <w:name w:val="Záhlaví Char"/>
    <w:basedOn w:val="DefaultParagraphFont"/>
    <w:link w:val="Header"/>
    <w:uiPriority w:val="99"/>
    <w:rsid w:val="003E0DE5"/>
    <w:rPr>
      <w:sz w:val="24"/>
      <w:szCs w:val="24"/>
    </w:rPr>
  </w:style>
  <w:style w:type="paragraph" w:styleId="Footer">
    <w:name w:val="footer"/>
    <w:basedOn w:val="Normal"/>
    <w:link w:val="ZpatChar"/>
    <w:rsid w:val="003E0DE5"/>
    <w:pPr>
      <w:tabs>
        <w:tab w:val="center" w:pos="4536"/>
        <w:tab w:val="right" w:pos="9072"/>
      </w:tabs>
    </w:pPr>
  </w:style>
  <w:style w:type="character" w:customStyle="1" w:styleId="ZpatChar">
    <w:name w:val="Zápatí Char"/>
    <w:basedOn w:val="DefaultParagraphFont"/>
    <w:link w:val="Footer"/>
    <w:rsid w:val="003E0DE5"/>
    <w:rPr>
      <w:sz w:val="24"/>
      <w:szCs w:val="24"/>
    </w:rPr>
  </w:style>
  <w:style w:type="character" w:customStyle="1" w:styleId="Nadpis1Char">
    <w:name w:val="Nadpis 1 Char"/>
    <w:basedOn w:val="DefaultParagraphFont"/>
    <w:link w:val="Heading1"/>
    <w:rsid w:val="00174EC7"/>
    <w:rPr>
      <w:b/>
      <w:bCs/>
      <w:kern w:val="36"/>
      <w:sz w:val="36"/>
      <w:szCs w:val="36"/>
    </w:rPr>
  </w:style>
  <w:style w:type="paragraph" w:styleId="BodyText">
    <w:name w:val="Body Text"/>
    <w:basedOn w:val="Normal"/>
    <w:link w:val="ZkladntextChar"/>
    <w:rsid w:val="00174EC7"/>
    <w:pPr>
      <w:jc w:val="both"/>
    </w:pPr>
  </w:style>
  <w:style w:type="character" w:customStyle="1" w:styleId="ZkladntextChar">
    <w:name w:val="Základní text Char"/>
    <w:basedOn w:val="DefaultParagraphFont"/>
    <w:link w:val="BodyText"/>
    <w:rsid w:val="00174EC7"/>
    <w:rPr>
      <w:sz w:val="24"/>
      <w:szCs w:val="24"/>
    </w:rPr>
  </w:style>
  <w:style w:type="paragraph" w:customStyle="1" w:styleId="Zkladntext21">
    <w:name w:val="Základní text 21"/>
    <w:basedOn w:val="Normal"/>
    <w:rsid w:val="00174EC7"/>
    <w:pPr>
      <w:overflowPunct w:val="0"/>
      <w:autoSpaceDE w:val="0"/>
      <w:autoSpaceDN w:val="0"/>
      <w:adjustRightInd w:val="0"/>
      <w:ind w:firstLine="708"/>
      <w:jc w:val="both"/>
    </w:pPr>
    <w:rPr>
      <w:szCs w:val="20"/>
    </w:rPr>
  </w:style>
  <w:style w:type="paragraph" w:styleId="BalloonText">
    <w:name w:val="Balloon Text"/>
    <w:basedOn w:val="Normal"/>
    <w:link w:val="TextbublinyChar"/>
    <w:rsid w:val="00D101F9"/>
    <w:rPr>
      <w:rFonts w:ascii="Tahoma" w:hAnsi="Tahoma" w:cs="Tahoma"/>
      <w:sz w:val="16"/>
      <w:szCs w:val="16"/>
    </w:rPr>
  </w:style>
  <w:style w:type="character" w:customStyle="1" w:styleId="TextbublinyChar">
    <w:name w:val="Text bubliny Char"/>
    <w:basedOn w:val="DefaultParagraphFont"/>
    <w:link w:val="BalloonText"/>
    <w:rsid w:val="00D10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4A522-902C-4CC1-B9B6-EFD8A2C4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51</TotalTime>
  <Pages>8</Pages>
  <Words>2099</Words>
  <Characters>12388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z p r á v y</vt:lpstr>
    </vt:vector>
  </TitlesOfParts>
  <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dcterms:created xsi:type="dcterms:W3CDTF">2019-12-10T09:07:00Z</dcterms:created>
</cp:coreProperties>
</file>