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47039" w:rsidP="00047039">
      <w:pPr>
        <w:spacing w:after="120"/>
        <w:jc w:val="right"/>
        <w:rPr>
          <w:rFonts w:ascii="Times New Roman" w:hAnsi="Times New Roman" w:cs="Times New Roman"/>
          <w:b/>
          <w:sz w:val="28"/>
          <w:szCs w:val="24"/>
        </w:rPr>
      </w:pPr>
      <w:bookmarkStart w:id="0" w:name="_GoBack"/>
      <w:bookmarkEnd w:id="0"/>
      <w:r>
        <w:rPr>
          <w:rFonts w:ascii="Times New Roman" w:hAnsi="Times New Roman" w:cs="Times New Roman"/>
          <w:b/>
          <w:sz w:val="28"/>
          <w:szCs w:val="24"/>
        </w:rPr>
        <w:t>II</w:t>
      </w:r>
      <w:r>
        <w:rPr>
          <w:rFonts w:ascii="Times New Roman" w:hAnsi="Times New Roman" w:cs="Times New Roman"/>
          <w:b/>
          <w:sz w:val="28"/>
          <w:szCs w:val="24"/>
        </w:rPr>
        <w:t>.</w:t>
      </w:r>
    </w:p>
    <w:p w:rsidR="00DD06F4" w:rsidRPr="00BB4EA3" w:rsidP="00867155">
      <w:pPr>
        <w:spacing w:after="120"/>
        <w:jc w:val="center"/>
        <w:rPr>
          <w:rFonts w:ascii="Times New Roman" w:hAnsi="Times New Roman" w:cs="Times New Roman"/>
          <w:b/>
          <w:sz w:val="28"/>
          <w:szCs w:val="24"/>
        </w:rPr>
      </w:pPr>
      <w:r w:rsidRPr="00BB4EA3">
        <w:rPr>
          <w:rFonts w:ascii="Times New Roman" w:hAnsi="Times New Roman" w:cs="Times New Roman"/>
          <w:b/>
          <w:sz w:val="28"/>
          <w:szCs w:val="24"/>
        </w:rPr>
        <w:t>Zpráva</w:t>
      </w:r>
      <w:r w:rsidRPr="00BB4EA3" w:rsidR="007B6673">
        <w:rPr>
          <w:rFonts w:ascii="Times New Roman" w:hAnsi="Times New Roman" w:cs="Times New Roman"/>
          <w:b/>
          <w:sz w:val="28"/>
          <w:szCs w:val="24"/>
        </w:rPr>
        <w:t xml:space="preserve"> Ministerstva financí pro vládu</w:t>
      </w:r>
      <w:r w:rsidRPr="00BB4EA3">
        <w:rPr>
          <w:rFonts w:ascii="Times New Roman" w:hAnsi="Times New Roman" w:cs="Times New Roman"/>
          <w:b/>
          <w:sz w:val="28"/>
          <w:szCs w:val="24"/>
        </w:rPr>
        <w:t xml:space="preserve"> ke Koncepci rozvoje kapitálového trhu v České republice 2019 - 2023</w:t>
      </w:r>
    </w:p>
    <w:p w:rsidR="00E07715" w:rsidRPr="00BB4EA3" w:rsidP="00867155">
      <w:pPr>
        <w:spacing w:after="120"/>
        <w:jc w:val="center"/>
        <w:rPr>
          <w:rFonts w:ascii="Times New Roman" w:hAnsi="Times New Roman" w:cs="Times New Roman"/>
          <w:i/>
          <w:sz w:val="24"/>
          <w:szCs w:val="24"/>
        </w:rPr>
      </w:pPr>
      <w:r w:rsidRPr="00BB4EA3">
        <w:rPr>
          <w:rFonts w:ascii="Times New Roman" w:hAnsi="Times New Roman" w:cs="Times New Roman"/>
          <w:i/>
          <w:sz w:val="24"/>
          <w:szCs w:val="24"/>
        </w:rPr>
        <w:t xml:space="preserve">stav k 1. </w:t>
      </w:r>
      <w:r w:rsidR="00D834D3">
        <w:rPr>
          <w:rFonts w:ascii="Times New Roman" w:hAnsi="Times New Roman" w:cs="Times New Roman"/>
          <w:i/>
          <w:sz w:val="24"/>
          <w:szCs w:val="24"/>
        </w:rPr>
        <w:t>1</w:t>
      </w:r>
      <w:r w:rsidR="006C31D6">
        <w:rPr>
          <w:rFonts w:ascii="Times New Roman" w:hAnsi="Times New Roman" w:cs="Times New Roman"/>
          <w:i/>
          <w:sz w:val="24"/>
          <w:szCs w:val="24"/>
        </w:rPr>
        <w:t>2</w:t>
      </w:r>
      <w:r w:rsidR="00D834D3">
        <w:rPr>
          <w:rFonts w:ascii="Times New Roman" w:hAnsi="Times New Roman" w:cs="Times New Roman"/>
          <w:i/>
          <w:sz w:val="24"/>
          <w:szCs w:val="24"/>
        </w:rPr>
        <w:t xml:space="preserve">. </w:t>
      </w:r>
      <w:r w:rsidRPr="00BB4EA3">
        <w:rPr>
          <w:rFonts w:ascii="Times New Roman" w:hAnsi="Times New Roman" w:cs="Times New Roman"/>
          <w:i/>
          <w:sz w:val="24"/>
          <w:szCs w:val="24"/>
        </w:rPr>
        <w:t>2020</w:t>
      </w:r>
    </w:p>
    <w:p w:rsidR="0000133E" w:rsidRPr="00BB4EA3" w:rsidP="00867155">
      <w:pPr>
        <w:spacing w:after="120"/>
        <w:jc w:val="center"/>
        <w:rPr>
          <w:rFonts w:ascii="Times New Roman" w:hAnsi="Times New Roman" w:cs="Times New Roman"/>
          <w:b/>
          <w:sz w:val="24"/>
          <w:szCs w:val="24"/>
          <w:u w:val="single"/>
        </w:rPr>
      </w:pPr>
      <w:r w:rsidRPr="00BB4EA3">
        <w:rPr>
          <w:rFonts w:ascii="Times New Roman" w:hAnsi="Times New Roman" w:cs="Times New Roman"/>
          <w:b/>
          <w:sz w:val="24"/>
          <w:szCs w:val="24"/>
          <w:u w:val="single"/>
        </w:rPr>
        <w:t>I. Přehled hlavních událostí v letech 2019 a 2020 týkajících se rozvoje kapitálového trhu v České republice</w:t>
      </w:r>
    </w:p>
    <w:p w:rsidR="00A03030"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Vláda schválila Koncepci rozvoje kapitálového trhu v České republice 2019 - 2023 </w:t>
      </w:r>
      <w:r w:rsidRPr="00BB4EA3" w:rsidR="007F4160">
        <w:rPr>
          <w:rFonts w:ascii="Times New Roman" w:hAnsi="Times New Roman" w:cs="Times New Roman"/>
          <w:sz w:val="24"/>
          <w:szCs w:val="24"/>
        </w:rPr>
        <w:t>(dále jen „</w:t>
      </w:r>
      <w:r w:rsidRPr="00BB4EA3" w:rsidR="007F4160">
        <w:rPr>
          <w:rFonts w:ascii="Times New Roman" w:hAnsi="Times New Roman" w:cs="Times New Roman"/>
          <w:b/>
          <w:sz w:val="24"/>
          <w:szCs w:val="24"/>
        </w:rPr>
        <w:t>Koncepce</w:t>
      </w:r>
      <w:r w:rsidRPr="00BB4EA3" w:rsidR="007F4160">
        <w:rPr>
          <w:rFonts w:ascii="Times New Roman" w:hAnsi="Times New Roman" w:cs="Times New Roman"/>
          <w:sz w:val="24"/>
          <w:szCs w:val="24"/>
        </w:rPr>
        <w:t xml:space="preserve">“) </w:t>
      </w:r>
      <w:r w:rsidRPr="00BB4EA3">
        <w:rPr>
          <w:rFonts w:ascii="Times New Roman" w:hAnsi="Times New Roman" w:cs="Times New Roman"/>
          <w:sz w:val="24"/>
          <w:szCs w:val="24"/>
        </w:rPr>
        <w:t xml:space="preserve">dne 4. </w:t>
      </w:r>
      <w:r w:rsidR="00D834D3">
        <w:rPr>
          <w:rFonts w:ascii="Times New Roman" w:hAnsi="Times New Roman" w:cs="Times New Roman"/>
          <w:sz w:val="24"/>
          <w:szCs w:val="24"/>
        </w:rPr>
        <w:t xml:space="preserve">3. </w:t>
      </w:r>
      <w:r w:rsidRPr="00BB4EA3">
        <w:rPr>
          <w:rFonts w:ascii="Times New Roman" w:hAnsi="Times New Roman" w:cs="Times New Roman"/>
          <w:sz w:val="24"/>
          <w:szCs w:val="24"/>
        </w:rPr>
        <w:t xml:space="preserve">2019. </w:t>
      </w:r>
      <w:r w:rsidR="00ED0B88">
        <w:rPr>
          <w:rFonts w:ascii="Times New Roman" w:hAnsi="Times New Roman" w:cs="Times New Roman"/>
          <w:sz w:val="24"/>
          <w:szCs w:val="24"/>
        </w:rPr>
        <w:t xml:space="preserve">MF </w:t>
      </w:r>
      <w:r w:rsidRPr="00BB4EA3">
        <w:rPr>
          <w:rFonts w:ascii="Times New Roman" w:hAnsi="Times New Roman" w:cs="Times New Roman"/>
          <w:sz w:val="24"/>
          <w:szCs w:val="24"/>
        </w:rPr>
        <w:t xml:space="preserve">k tomu uspořádalo </w:t>
      </w:r>
      <w:r w:rsidR="00255AF7">
        <w:rPr>
          <w:rFonts w:ascii="Times New Roman" w:hAnsi="Times New Roman" w:cs="Times New Roman"/>
          <w:sz w:val="24"/>
          <w:szCs w:val="24"/>
        </w:rPr>
        <w:t>dne 14. 3. 2019</w:t>
      </w:r>
      <w:r w:rsidRPr="00BB4EA3">
        <w:rPr>
          <w:rFonts w:ascii="Times New Roman" w:hAnsi="Times New Roman" w:cs="Times New Roman"/>
          <w:sz w:val="24"/>
          <w:szCs w:val="24"/>
        </w:rPr>
        <w:t xml:space="preserve"> </w:t>
      </w:r>
      <w:r>
        <w:fldChar w:fldCharType="begin"/>
      </w:r>
      <w:r>
        <w:instrText xml:space="preserve"> HYPERLINK "https://www.mfcr.cz/cs/aktualne/tiskove-zpravy/2019/ministerstvo-financi-predstavilo-koncepc-34656" </w:instrText>
      </w:r>
      <w:r>
        <w:fldChar w:fldCharType="separate"/>
      </w:r>
      <w:r w:rsidRPr="00BB4EA3">
        <w:rPr>
          <w:rStyle w:val="Hyperlink"/>
          <w:rFonts w:ascii="Times New Roman" w:hAnsi="Times New Roman" w:cs="Times New Roman"/>
          <w:sz w:val="24"/>
          <w:szCs w:val="24"/>
        </w:rPr>
        <w:t>tiskovou konferenci</w:t>
      </w:r>
      <w:r>
        <w:fldChar w:fldCharType="end"/>
      </w:r>
      <w:r w:rsidRPr="007471AF" w:rsidR="00542734">
        <w:rPr>
          <w:rStyle w:val="Hyperlink"/>
          <w:rFonts w:ascii="Times New Roman" w:hAnsi="Times New Roman" w:cs="Times New Roman"/>
          <w:color w:val="auto"/>
          <w:sz w:val="24"/>
          <w:szCs w:val="24"/>
          <w:u w:val="none"/>
          <w:vertAlign w:val="superscript"/>
        </w:rPr>
        <w:t>1)</w:t>
      </w:r>
      <w:r w:rsidRPr="00BB4EA3">
        <w:rPr>
          <w:rFonts w:ascii="Times New Roman" w:hAnsi="Times New Roman" w:cs="Times New Roman"/>
          <w:sz w:val="24"/>
          <w:szCs w:val="24"/>
        </w:rPr>
        <w:t>, které se zúčastnilo přes 50 účastníků.</w:t>
      </w:r>
      <w:r w:rsidRPr="00BB4EA3" w:rsidR="007020C6">
        <w:rPr>
          <w:rFonts w:ascii="Times New Roman" w:hAnsi="Times New Roman" w:cs="Times New Roman"/>
          <w:sz w:val="24"/>
          <w:szCs w:val="24"/>
        </w:rPr>
        <w:t xml:space="preserve"> Dne 14. </w:t>
      </w:r>
      <w:r w:rsidR="00542734">
        <w:rPr>
          <w:rFonts w:ascii="Times New Roman" w:hAnsi="Times New Roman" w:cs="Times New Roman"/>
          <w:sz w:val="24"/>
          <w:szCs w:val="24"/>
        </w:rPr>
        <w:t>3.</w:t>
      </w:r>
      <w:r w:rsidRPr="00BB4EA3" w:rsidR="00542734">
        <w:rPr>
          <w:rFonts w:ascii="Times New Roman" w:hAnsi="Times New Roman" w:cs="Times New Roman"/>
          <w:sz w:val="24"/>
          <w:szCs w:val="24"/>
        </w:rPr>
        <w:t xml:space="preserve"> </w:t>
      </w:r>
      <w:r w:rsidRPr="00BB4EA3" w:rsidR="007020C6">
        <w:rPr>
          <w:rFonts w:ascii="Times New Roman" w:hAnsi="Times New Roman" w:cs="Times New Roman"/>
          <w:sz w:val="24"/>
          <w:szCs w:val="24"/>
        </w:rPr>
        <w:t>20</w:t>
      </w:r>
      <w:r w:rsidR="00CC105A">
        <w:rPr>
          <w:rFonts w:ascii="Times New Roman" w:hAnsi="Times New Roman" w:cs="Times New Roman"/>
          <w:sz w:val="24"/>
          <w:szCs w:val="24"/>
        </w:rPr>
        <w:t>19</w:t>
      </w:r>
      <w:r w:rsidRPr="00BB4EA3" w:rsidR="007020C6">
        <w:rPr>
          <w:rFonts w:ascii="Times New Roman" w:hAnsi="Times New Roman" w:cs="Times New Roman"/>
          <w:sz w:val="24"/>
          <w:szCs w:val="24"/>
        </w:rPr>
        <w:t xml:space="preserve"> byl </w:t>
      </w:r>
      <w:r w:rsidR="00255AF7">
        <w:rPr>
          <w:rFonts w:ascii="Times New Roman" w:hAnsi="Times New Roman" w:cs="Times New Roman"/>
          <w:sz w:val="24"/>
          <w:szCs w:val="24"/>
        </w:rPr>
        <w:t xml:space="preserve">rovněž </w:t>
      </w:r>
      <w:r w:rsidRPr="00BB4EA3" w:rsidR="007020C6">
        <w:rPr>
          <w:rFonts w:ascii="Times New Roman" w:hAnsi="Times New Roman" w:cs="Times New Roman"/>
          <w:sz w:val="24"/>
          <w:szCs w:val="24"/>
        </w:rPr>
        <w:t xml:space="preserve">publikován i překlad Koncepce </w:t>
      </w:r>
      <w:r>
        <w:fldChar w:fldCharType="begin"/>
      </w:r>
      <w:r>
        <w:instrText xml:space="preserve"> HYPERLINK "https://www.mfcr.cz/en/news/press-releases/2019/the-ministry-of-finance-introduced-the-n-34785" </w:instrText>
      </w:r>
      <w:r>
        <w:fldChar w:fldCharType="separate"/>
      </w:r>
      <w:r w:rsidRPr="00BB4EA3" w:rsidR="007020C6">
        <w:rPr>
          <w:rStyle w:val="Hyperlink"/>
          <w:rFonts w:ascii="Times New Roman" w:hAnsi="Times New Roman" w:cs="Times New Roman"/>
          <w:sz w:val="24"/>
          <w:szCs w:val="24"/>
        </w:rPr>
        <w:t>do</w:t>
      </w:r>
      <w:r w:rsidR="001C2CD4">
        <w:rPr>
          <w:rStyle w:val="Hyperlink"/>
          <w:rFonts w:ascii="Times New Roman" w:hAnsi="Times New Roman" w:cs="Times New Roman"/>
          <w:sz w:val="24"/>
          <w:szCs w:val="24"/>
        </w:rPr>
        <w:t> </w:t>
      </w:r>
      <w:r w:rsidRPr="00BB4EA3" w:rsidR="007020C6">
        <w:rPr>
          <w:rStyle w:val="Hyperlink"/>
          <w:rFonts w:ascii="Times New Roman" w:hAnsi="Times New Roman" w:cs="Times New Roman"/>
          <w:sz w:val="24"/>
          <w:szCs w:val="24"/>
        </w:rPr>
        <w:t>anglického jazyka</w:t>
      </w:r>
      <w:r>
        <w:fldChar w:fldCharType="end"/>
      </w:r>
      <w:r w:rsidRPr="007471AF" w:rsidR="00542734">
        <w:rPr>
          <w:rStyle w:val="Hyperlink"/>
          <w:rFonts w:ascii="Times New Roman" w:hAnsi="Times New Roman" w:cs="Times New Roman"/>
          <w:color w:val="auto"/>
          <w:sz w:val="24"/>
          <w:szCs w:val="24"/>
          <w:u w:val="none"/>
          <w:vertAlign w:val="superscript"/>
        </w:rPr>
        <w:t>2)</w:t>
      </w:r>
      <w:r w:rsidRPr="00BB4EA3" w:rsidR="00DE22C2">
        <w:rPr>
          <w:rFonts w:ascii="Times New Roman" w:hAnsi="Times New Roman" w:cs="Times New Roman"/>
          <w:sz w:val="24"/>
          <w:szCs w:val="24"/>
        </w:rPr>
        <w:t xml:space="preserve">, a to včetně zprávy o tiskové konferenci </w:t>
      </w:r>
      <w:r w:rsidRPr="00BB4EA3" w:rsidR="007C10E9">
        <w:rPr>
          <w:rFonts w:ascii="Times New Roman" w:hAnsi="Times New Roman" w:cs="Times New Roman"/>
          <w:sz w:val="24"/>
          <w:szCs w:val="24"/>
        </w:rPr>
        <w:t>a videa tlumočeného do</w:t>
      </w:r>
      <w:r w:rsidR="001C2CD4">
        <w:rPr>
          <w:rFonts w:ascii="Times New Roman" w:hAnsi="Times New Roman" w:cs="Times New Roman"/>
          <w:sz w:val="24"/>
          <w:szCs w:val="24"/>
        </w:rPr>
        <w:t> </w:t>
      </w:r>
      <w:r w:rsidRPr="00BB4EA3" w:rsidR="007C10E9">
        <w:rPr>
          <w:rFonts w:ascii="Times New Roman" w:hAnsi="Times New Roman" w:cs="Times New Roman"/>
          <w:sz w:val="24"/>
          <w:szCs w:val="24"/>
        </w:rPr>
        <w:t>anglického jazyka.</w:t>
      </w:r>
    </w:p>
    <w:p w:rsidR="007020C6"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Ještě před schválením Koncepce vládou publikovalo </w:t>
      </w:r>
      <w:r w:rsidR="00847BA5">
        <w:rPr>
          <w:rFonts w:ascii="Times New Roman" w:hAnsi="Times New Roman" w:cs="Times New Roman"/>
          <w:sz w:val="24"/>
          <w:szCs w:val="24"/>
        </w:rPr>
        <w:t xml:space="preserve">MF </w:t>
      </w:r>
      <w:r w:rsidRPr="00BB4EA3">
        <w:rPr>
          <w:rFonts w:ascii="Times New Roman" w:hAnsi="Times New Roman" w:cs="Times New Roman"/>
          <w:sz w:val="24"/>
          <w:szCs w:val="24"/>
        </w:rPr>
        <w:t xml:space="preserve">dne 4. </w:t>
      </w:r>
      <w:r w:rsidR="00D834D3">
        <w:rPr>
          <w:rFonts w:ascii="Times New Roman" w:hAnsi="Times New Roman" w:cs="Times New Roman"/>
          <w:sz w:val="24"/>
          <w:szCs w:val="24"/>
        </w:rPr>
        <w:t>1.</w:t>
      </w:r>
      <w:r w:rsidRPr="00BB4EA3">
        <w:rPr>
          <w:rFonts w:ascii="Times New Roman" w:hAnsi="Times New Roman" w:cs="Times New Roman"/>
          <w:sz w:val="24"/>
          <w:szCs w:val="24"/>
        </w:rPr>
        <w:t xml:space="preserve"> 2019 </w:t>
      </w:r>
      <w:r>
        <w:fldChar w:fldCharType="begin"/>
      </w:r>
      <w:r>
        <w:instrText xml:space="preserve"> HYPERLINK "https://www.mfcr.cz/en/themes/capital-market/capital-market-in-the-czech-republic/the-ministry-of-finance-publishes-a-worl-33912" </w:instrText>
      </w:r>
      <w:r>
        <w:fldChar w:fldCharType="separate"/>
      </w:r>
      <w:r w:rsidRPr="00BB4EA3">
        <w:rPr>
          <w:rStyle w:val="Hyperlink"/>
          <w:rFonts w:ascii="Times New Roman" w:hAnsi="Times New Roman" w:cs="Times New Roman"/>
          <w:sz w:val="24"/>
          <w:szCs w:val="24"/>
        </w:rPr>
        <w:t>zprávu Světové banky o kapitálovém trhu v ČR</w:t>
      </w:r>
      <w:r>
        <w:fldChar w:fldCharType="end"/>
      </w:r>
      <w:r w:rsidRPr="007471AF" w:rsidR="00542734">
        <w:rPr>
          <w:rStyle w:val="Hyperlink"/>
          <w:rFonts w:ascii="Times New Roman" w:hAnsi="Times New Roman" w:cs="Times New Roman"/>
          <w:color w:val="auto"/>
          <w:sz w:val="24"/>
          <w:szCs w:val="24"/>
          <w:u w:val="none"/>
          <w:vertAlign w:val="superscript"/>
        </w:rPr>
        <w:t>3)</w:t>
      </w:r>
      <w:r w:rsidRPr="007471AF">
        <w:rPr>
          <w:rStyle w:val="Hyperlink"/>
          <w:color w:val="auto"/>
          <w:u w:val="none"/>
        </w:rPr>
        <w:t xml:space="preserve"> </w:t>
      </w:r>
      <w:r w:rsidRPr="00BB4EA3">
        <w:rPr>
          <w:rFonts w:ascii="Times New Roman" w:hAnsi="Times New Roman" w:cs="Times New Roman"/>
          <w:sz w:val="24"/>
          <w:szCs w:val="24"/>
        </w:rPr>
        <w:t xml:space="preserve">a </w:t>
      </w:r>
      <w:r>
        <w:fldChar w:fldCharType="begin"/>
      </w:r>
      <w:r>
        <w:instrText xml:space="preserve"> HYPERLINK "https://www.mfcr.cz/en/themes/capital-market/capital-market-in-the-czech-republic/the-ministry-of-finance-publishes-a-worl-33724" </w:instrText>
      </w:r>
      <w:r>
        <w:fldChar w:fldCharType="separate"/>
      </w:r>
      <w:r w:rsidRPr="00BB4EA3">
        <w:rPr>
          <w:rStyle w:val="Hyperlink"/>
          <w:rFonts w:ascii="Times New Roman" w:hAnsi="Times New Roman" w:cs="Times New Roman"/>
          <w:sz w:val="24"/>
          <w:szCs w:val="24"/>
        </w:rPr>
        <w:t xml:space="preserve">zprávu Světové banky o business </w:t>
      </w:r>
      <w:r w:rsidRPr="00BB4EA3">
        <w:rPr>
          <w:rStyle w:val="Hyperlink"/>
          <w:rFonts w:ascii="Times New Roman" w:hAnsi="Times New Roman" w:cs="Times New Roman"/>
          <w:sz w:val="24"/>
          <w:szCs w:val="24"/>
        </w:rPr>
        <w:t>angels</w:t>
      </w:r>
      <w:r w:rsidRPr="00BB4EA3">
        <w:rPr>
          <w:rStyle w:val="Hyperlink"/>
          <w:rFonts w:ascii="Times New Roman" w:hAnsi="Times New Roman" w:cs="Times New Roman"/>
          <w:sz w:val="24"/>
          <w:szCs w:val="24"/>
        </w:rPr>
        <w:t xml:space="preserve"> v ČR</w:t>
      </w:r>
      <w:r>
        <w:fldChar w:fldCharType="end"/>
      </w:r>
      <w:r w:rsidRPr="007471AF" w:rsidR="00542734">
        <w:rPr>
          <w:rStyle w:val="Hyperlink"/>
          <w:rFonts w:ascii="Times New Roman" w:hAnsi="Times New Roman" w:cs="Times New Roman"/>
          <w:color w:val="auto"/>
          <w:sz w:val="24"/>
          <w:szCs w:val="24"/>
          <w:u w:val="none"/>
          <w:vertAlign w:val="superscript"/>
        </w:rPr>
        <w:t>4)</w:t>
      </w:r>
      <w:r w:rsidRPr="00BB4EA3">
        <w:rPr>
          <w:rFonts w:ascii="Times New Roman" w:hAnsi="Times New Roman" w:cs="Times New Roman"/>
          <w:sz w:val="24"/>
          <w:szCs w:val="24"/>
        </w:rPr>
        <w:t xml:space="preserve"> </w:t>
      </w:r>
      <w:r w:rsidRPr="00BB4EA3" w:rsidR="00DE22C2">
        <w:rPr>
          <w:rFonts w:ascii="Times New Roman" w:hAnsi="Times New Roman" w:cs="Times New Roman"/>
          <w:sz w:val="24"/>
          <w:szCs w:val="24"/>
        </w:rPr>
        <w:t xml:space="preserve">na svých webových stránkách v anglickém jazyce. Dne 14. </w:t>
      </w:r>
      <w:r w:rsidR="00D834D3">
        <w:rPr>
          <w:rFonts w:ascii="Times New Roman" w:hAnsi="Times New Roman" w:cs="Times New Roman"/>
          <w:sz w:val="24"/>
          <w:szCs w:val="24"/>
        </w:rPr>
        <w:t xml:space="preserve">1. </w:t>
      </w:r>
      <w:r w:rsidRPr="00BB4EA3" w:rsidR="00DE22C2">
        <w:rPr>
          <w:rFonts w:ascii="Times New Roman" w:hAnsi="Times New Roman" w:cs="Times New Roman"/>
          <w:sz w:val="24"/>
          <w:szCs w:val="24"/>
        </w:rPr>
        <w:t xml:space="preserve">2019 byl publikován </w:t>
      </w:r>
      <w:r>
        <w:fldChar w:fldCharType="begin"/>
      </w:r>
      <w:r>
        <w:instrText xml:space="preserve"> HYPERLINK "https://www.mfcr.cz/en/themes/capital-market/capital-market-in-the-czech-republic/the-bonds-act-is-published-in-the-collec-33969" </w:instrText>
      </w:r>
      <w:r>
        <w:fldChar w:fldCharType="separate"/>
      </w:r>
      <w:r w:rsidRPr="00BB4EA3" w:rsidR="00DE22C2">
        <w:rPr>
          <w:rStyle w:val="Hyperlink"/>
          <w:rFonts w:ascii="Times New Roman" w:hAnsi="Times New Roman" w:cs="Times New Roman"/>
          <w:sz w:val="24"/>
          <w:szCs w:val="24"/>
        </w:rPr>
        <w:t>překlad zákona o</w:t>
      </w:r>
      <w:r w:rsidR="001C2CD4">
        <w:rPr>
          <w:rStyle w:val="Hyperlink"/>
          <w:rFonts w:ascii="Times New Roman" w:hAnsi="Times New Roman" w:cs="Times New Roman"/>
          <w:sz w:val="24"/>
          <w:szCs w:val="24"/>
        </w:rPr>
        <w:t> </w:t>
      </w:r>
      <w:r w:rsidRPr="00BB4EA3" w:rsidR="00DE22C2">
        <w:rPr>
          <w:rStyle w:val="Hyperlink"/>
          <w:rFonts w:ascii="Times New Roman" w:hAnsi="Times New Roman" w:cs="Times New Roman"/>
          <w:sz w:val="24"/>
          <w:szCs w:val="24"/>
        </w:rPr>
        <w:t>dluhopisech do anglického jazyka</w:t>
      </w:r>
      <w:r>
        <w:fldChar w:fldCharType="end"/>
      </w:r>
      <w:r w:rsidRPr="007471AF" w:rsidR="00542734">
        <w:rPr>
          <w:rStyle w:val="Hyperlink"/>
          <w:rFonts w:ascii="Times New Roman" w:hAnsi="Times New Roman" w:cs="Times New Roman"/>
          <w:color w:val="auto"/>
          <w:sz w:val="24"/>
          <w:szCs w:val="24"/>
          <w:u w:val="none"/>
          <w:vertAlign w:val="superscript"/>
        </w:rPr>
        <w:t>5)</w:t>
      </w:r>
      <w:r w:rsidR="00894D70">
        <w:rPr>
          <w:rFonts w:ascii="Times New Roman" w:hAnsi="Times New Roman" w:cs="Times New Roman"/>
          <w:sz w:val="24"/>
          <w:szCs w:val="24"/>
        </w:rPr>
        <w:t xml:space="preserve"> ve znění novely účinné od 4. </w:t>
      </w:r>
      <w:r w:rsidR="00D834D3">
        <w:rPr>
          <w:rFonts w:ascii="Times New Roman" w:hAnsi="Times New Roman" w:cs="Times New Roman"/>
          <w:sz w:val="24"/>
          <w:szCs w:val="24"/>
        </w:rPr>
        <w:t xml:space="preserve">1. </w:t>
      </w:r>
      <w:r w:rsidRPr="00BB4EA3" w:rsidR="00DE22C2">
        <w:rPr>
          <w:rFonts w:ascii="Times New Roman" w:hAnsi="Times New Roman" w:cs="Times New Roman"/>
          <w:sz w:val="24"/>
          <w:szCs w:val="24"/>
        </w:rPr>
        <w:t xml:space="preserve">2019 a </w:t>
      </w:r>
      <w:r>
        <w:fldChar w:fldCharType="begin"/>
      </w:r>
      <w:r>
        <w:instrText xml:space="preserve"> HYPERLINK "https://www.mfcr.cz/en/themes/capital-market/capital-market-in-the-czech-republic/the-ministry-of-finance-publishes-transl-33971" </w:instrText>
      </w:r>
      <w:r>
        <w:fldChar w:fldCharType="separate"/>
      </w:r>
      <w:r w:rsidRPr="00BB4EA3" w:rsidR="00DE22C2">
        <w:rPr>
          <w:rStyle w:val="Hyperlink"/>
          <w:rFonts w:ascii="Times New Roman" w:hAnsi="Times New Roman" w:cs="Times New Roman"/>
          <w:sz w:val="24"/>
          <w:szCs w:val="24"/>
        </w:rPr>
        <w:t>překlad zákona o</w:t>
      </w:r>
      <w:r w:rsidR="001C2CD4">
        <w:rPr>
          <w:rStyle w:val="Hyperlink"/>
          <w:rFonts w:ascii="Times New Roman" w:hAnsi="Times New Roman" w:cs="Times New Roman"/>
          <w:sz w:val="24"/>
          <w:szCs w:val="24"/>
        </w:rPr>
        <w:t> </w:t>
      </w:r>
      <w:r w:rsidRPr="00BB4EA3" w:rsidR="00DE22C2">
        <w:rPr>
          <w:rStyle w:val="Hyperlink"/>
          <w:rFonts w:ascii="Times New Roman" w:hAnsi="Times New Roman" w:cs="Times New Roman"/>
          <w:sz w:val="24"/>
          <w:szCs w:val="24"/>
        </w:rPr>
        <w:t>podnikání na kapitálovém trhu do anglického jazyka</w:t>
      </w:r>
      <w:r>
        <w:fldChar w:fldCharType="end"/>
      </w:r>
      <w:r w:rsidRPr="007471AF" w:rsidR="00542734">
        <w:rPr>
          <w:rStyle w:val="Hyperlink"/>
          <w:rFonts w:ascii="Times New Roman" w:hAnsi="Times New Roman" w:cs="Times New Roman"/>
          <w:color w:val="auto"/>
          <w:sz w:val="24"/>
          <w:szCs w:val="24"/>
          <w:u w:val="none"/>
          <w:vertAlign w:val="superscript"/>
        </w:rPr>
        <w:t>6)</w:t>
      </w:r>
      <w:r w:rsidR="00894D70">
        <w:rPr>
          <w:rFonts w:ascii="Times New Roman" w:hAnsi="Times New Roman" w:cs="Times New Roman"/>
          <w:sz w:val="24"/>
          <w:szCs w:val="24"/>
        </w:rPr>
        <w:t xml:space="preserve"> ve </w:t>
      </w:r>
      <w:r w:rsidRPr="00BB4EA3" w:rsidR="00DE22C2">
        <w:rPr>
          <w:rFonts w:ascii="Times New Roman" w:hAnsi="Times New Roman" w:cs="Times New Roman"/>
          <w:sz w:val="24"/>
          <w:szCs w:val="24"/>
        </w:rPr>
        <w:t xml:space="preserve">znění novely účinné od 3. </w:t>
      </w:r>
      <w:r w:rsidR="00D834D3">
        <w:rPr>
          <w:rFonts w:ascii="Times New Roman" w:hAnsi="Times New Roman" w:cs="Times New Roman"/>
          <w:sz w:val="24"/>
          <w:szCs w:val="24"/>
        </w:rPr>
        <w:t xml:space="preserve">1. </w:t>
      </w:r>
      <w:r w:rsidRPr="00BB4EA3" w:rsidR="00DE22C2">
        <w:rPr>
          <w:rFonts w:ascii="Times New Roman" w:hAnsi="Times New Roman" w:cs="Times New Roman"/>
          <w:sz w:val="24"/>
          <w:szCs w:val="24"/>
        </w:rPr>
        <w:t xml:space="preserve">2018. </w:t>
      </w:r>
    </w:p>
    <w:p w:rsidR="00BB4DE8"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Po schválení Koncepce vládou </w:t>
      </w:r>
      <w:r w:rsidRPr="00BB4EA3" w:rsidR="00E07715">
        <w:rPr>
          <w:rFonts w:ascii="Times New Roman" w:hAnsi="Times New Roman" w:cs="Times New Roman"/>
          <w:sz w:val="24"/>
          <w:szCs w:val="24"/>
        </w:rPr>
        <w:t>zveřejnilo</w:t>
      </w:r>
      <w:r w:rsidRPr="00BB4EA3">
        <w:rPr>
          <w:rFonts w:ascii="Times New Roman" w:hAnsi="Times New Roman" w:cs="Times New Roman"/>
          <w:sz w:val="24"/>
          <w:szCs w:val="24"/>
        </w:rPr>
        <w:t xml:space="preserve"> MF </w:t>
      </w:r>
      <w:r w:rsidRPr="00BB4EA3" w:rsidR="00E07715">
        <w:rPr>
          <w:rFonts w:ascii="Times New Roman" w:hAnsi="Times New Roman" w:cs="Times New Roman"/>
          <w:sz w:val="24"/>
          <w:szCs w:val="24"/>
        </w:rPr>
        <w:t xml:space="preserve">dne 27. </w:t>
      </w:r>
      <w:r w:rsidR="00D834D3">
        <w:rPr>
          <w:rFonts w:ascii="Times New Roman" w:hAnsi="Times New Roman" w:cs="Times New Roman"/>
          <w:sz w:val="24"/>
          <w:szCs w:val="24"/>
        </w:rPr>
        <w:t xml:space="preserve">3. </w:t>
      </w:r>
      <w:r w:rsidRPr="00BB4EA3" w:rsidR="00E07715">
        <w:rPr>
          <w:rFonts w:ascii="Times New Roman" w:hAnsi="Times New Roman" w:cs="Times New Roman"/>
          <w:sz w:val="24"/>
          <w:szCs w:val="24"/>
        </w:rPr>
        <w:t xml:space="preserve">2019 </w:t>
      </w:r>
      <w:r>
        <w:fldChar w:fldCharType="begin"/>
      </w:r>
      <w:r>
        <w:instrText xml:space="preserve"> HYPERLINK "https://www.mfcr.cz/cs/o-ministerstvu/odborne-studie-a-vyzkumy/2019/kodex-spravy-a-rizeni-spolecnosti-cr-201-34812" </w:instrText>
      </w:r>
      <w:r>
        <w:fldChar w:fldCharType="separate"/>
      </w:r>
      <w:r w:rsidRPr="00BB4EA3" w:rsidR="00E07715">
        <w:rPr>
          <w:rStyle w:val="Hyperlink"/>
          <w:rFonts w:ascii="Times New Roman" w:hAnsi="Times New Roman" w:cs="Times New Roman"/>
          <w:sz w:val="24"/>
          <w:szCs w:val="24"/>
        </w:rPr>
        <w:t>Kodex správy a řízení společností ČR (2018)</w:t>
      </w:r>
      <w:r>
        <w:fldChar w:fldCharType="end"/>
      </w:r>
      <w:r w:rsidRPr="007471AF" w:rsidR="00542734">
        <w:rPr>
          <w:rStyle w:val="Hyperlink"/>
          <w:rFonts w:ascii="Times New Roman" w:hAnsi="Times New Roman" w:cs="Times New Roman"/>
          <w:color w:val="auto"/>
          <w:sz w:val="24"/>
          <w:szCs w:val="24"/>
          <w:u w:val="none"/>
          <w:vertAlign w:val="superscript"/>
        </w:rPr>
        <w:t>7)</w:t>
      </w:r>
      <w:r w:rsidRPr="00BB4EA3" w:rsidR="0058218F">
        <w:rPr>
          <w:rFonts w:ascii="Times New Roman" w:hAnsi="Times New Roman" w:cs="Times New Roman"/>
          <w:sz w:val="24"/>
          <w:szCs w:val="24"/>
        </w:rPr>
        <w:t xml:space="preserve"> připravený Czech Institute </w:t>
      </w:r>
      <w:r w:rsidRPr="00BB4EA3" w:rsidR="0058218F">
        <w:rPr>
          <w:rFonts w:ascii="Times New Roman" w:hAnsi="Times New Roman" w:cs="Times New Roman"/>
          <w:sz w:val="24"/>
          <w:szCs w:val="24"/>
        </w:rPr>
        <w:t>of</w:t>
      </w:r>
      <w:r w:rsidRPr="00BB4EA3" w:rsidR="0058218F">
        <w:rPr>
          <w:rFonts w:ascii="Times New Roman" w:hAnsi="Times New Roman" w:cs="Times New Roman"/>
          <w:sz w:val="24"/>
          <w:szCs w:val="24"/>
        </w:rPr>
        <w:t xml:space="preserve"> </w:t>
      </w:r>
      <w:r w:rsidRPr="00BB4EA3" w:rsidR="0058218F">
        <w:rPr>
          <w:rFonts w:ascii="Times New Roman" w:hAnsi="Times New Roman" w:cs="Times New Roman"/>
          <w:sz w:val="24"/>
          <w:szCs w:val="24"/>
        </w:rPr>
        <w:t>Directors</w:t>
      </w:r>
      <w:r w:rsidRPr="00BB4EA3" w:rsidR="00E07715">
        <w:rPr>
          <w:rFonts w:ascii="Times New Roman" w:hAnsi="Times New Roman" w:cs="Times New Roman"/>
          <w:sz w:val="24"/>
          <w:szCs w:val="24"/>
        </w:rPr>
        <w:t>. Dále zveřejnilo MF dne 15.</w:t>
      </w:r>
      <w:r w:rsidR="001C2CD4">
        <w:rPr>
          <w:rFonts w:ascii="Times New Roman" w:hAnsi="Times New Roman" w:cs="Times New Roman"/>
          <w:sz w:val="24"/>
          <w:szCs w:val="24"/>
        </w:rPr>
        <w:t> </w:t>
      </w:r>
      <w:r w:rsidR="00D834D3">
        <w:rPr>
          <w:rFonts w:ascii="Times New Roman" w:hAnsi="Times New Roman" w:cs="Times New Roman"/>
          <w:sz w:val="24"/>
          <w:szCs w:val="24"/>
        </w:rPr>
        <w:t>4.</w:t>
      </w:r>
      <w:r w:rsidRPr="00BB4EA3" w:rsidR="00E07715">
        <w:rPr>
          <w:rFonts w:ascii="Times New Roman" w:hAnsi="Times New Roman" w:cs="Times New Roman"/>
          <w:sz w:val="24"/>
          <w:szCs w:val="24"/>
        </w:rPr>
        <w:t xml:space="preserve"> 2020 </w:t>
      </w:r>
      <w:r>
        <w:fldChar w:fldCharType="begin"/>
      </w:r>
      <w:r>
        <w:instrText xml:space="preserve"> HYPERLINK "https://www.mfcr.cz/cs/soukromy-sektor/kapitalovy-trh/podnikani-na-kapitalovem-trhu/2019/verejna-konzultace--scorecard-korporatni-34916" </w:instrText>
      </w:r>
      <w:r>
        <w:fldChar w:fldCharType="separate"/>
      </w:r>
      <w:r w:rsidRPr="00BB4EA3" w:rsidR="00E07715">
        <w:rPr>
          <w:rStyle w:val="Hyperlink"/>
          <w:rFonts w:ascii="Times New Roman" w:hAnsi="Times New Roman" w:cs="Times New Roman"/>
          <w:sz w:val="24"/>
          <w:szCs w:val="24"/>
        </w:rPr>
        <w:t xml:space="preserve">veřejnou konzultaci </w:t>
      </w:r>
      <w:r w:rsidRPr="00BB4EA3" w:rsidR="00A03030">
        <w:rPr>
          <w:rStyle w:val="Hyperlink"/>
          <w:rFonts w:ascii="Times New Roman" w:hAnsi="Times New Roman" w:cs="Times New Roman"/>
          <w:sz w:val="24"/>
          <w:szCs w:val="24"/>
        </w:rPr>
        <w:t xml:space="preserve">ke </w:t>
      </w:r>
      <w:r w:rsidRPr="00BB4EA3">
        <w:rPr>
          <w:rStyle w:val="Hyperlink"/>
          <w:rFonts w:ascii="Times New Roman" w:hAnsi="Times New Roman" w:cs="Times New Roman"/>
          <w:sz w:val="24"/>
          <w:szCs w:val="24"/>
        </w:rPr>
        <w:t>S</w:t>
      </w:r>
      <w:r w:rsidRPr="00BB4EA3" w:rsidR="00E07715">
        <w:rPr>
          <w:rStyle w:val="Hyperlink"/>
          <w:rFonts w:ascii="Times New Roman" w:hAnsi="Times New Roman" w:cs="Times New Roman"/>
          <w:sz w:val="24"/>
          <w:szCs w:val="24"/>
        </w:rPr>
        <w:t>corecard</w:t>
      </w:r>
      <w:r w:rsidRPr="00BB4EA3" w:rsidR="00A03030">
        <w:rPr>
          <w:rStyle w:val="Hyperlink"/>
          <w:rFonts w:ascii="Times New Roman" w:hAnsi="Times New Roman" w:cs="Times New Roman"/>
          <w:sz w:val="24"/>
          <w:szCs w:val="24"/>
        </w:rPr>
        <w:t>u</w:t>
      </w:r>
      <w:r w:rsidRPr="00BB4EA3" w:rsidR="00E07715">
        <w:rPr>
          <w:rStyle w:val="Hyperlink"/>
          <w:rFonts w:ascii="Times New Roman" w:hAnsi="Times New Roman" w:cs="Times New Roman"/>
          <w:sz w:val="24"/>
          <w:szCs w:val="24"/>
        </w:rPr>
        <w:t xml:space="preserve"> kor</w:t>
      </w:r>
      <w:r w:rsidRPr="00BB4EA3" w:rsidR="007F4160">
        <w:rPr>
          <w:rStyle w:val="Hyperlink"/>
          <w:rFonts w:ascii="Times New Roman" w:hAnsi="Times New Roman" w:cs="Times New Roman"/>
          <w:sz w:val="24"/>
          <w:szCs w:val="24"/>
        </w:rPr>
        <w:t>porátních dluhopisů</w:t>
      </w:r>
      <w:r>
        <w:fldChar w:fldCharType="end"/>
      </w:r>
      <w:r w:rsidRPr="007471AF" w:rsidR="00542734">
        <w:rPr>
          <w:rStyle w:val="Hyperlink"/>
          <w:rFonts w:ascii="Times New Roman" w:hAnsi="Times New Roman" w:cs="Times New Roman"/>
          <w:color w:val="auto"/>
          <w:sz w:val="24"/>
          <w:szCs w:val="24"/>
          <w:u w:val="none"/>
          <w:vertAlign w:val="superscript"/>
        </w:rPr>
        <w:t>8)</w:t>
      </w:r>
      <w:r w:rsidRPr="00BB4EA3" w:rsidR="007F4160">
        <w:rPr>
          <w:rFonts w:ascii="Times New Roman" w:hAnsi="Times New Roman" w:cs="Times New Roman"/>
          <w:sz w:val="24"/>
          <w:szCs w:val="24"/>
        </w:rPr>
        <w:t xml:space="preserve"> (</w:t>
      </w:r>
      <w:r w:rsidRPr="00BB4EA3" w:rsidR="007F4160">
        <w:rPr>
          <w:rFonts w:ascii="Times New Roman" w:hAnsi="Times New Roman" w:cs="Times New Roman"/>
          <w:sz w:val="24"/>
          <w:szCs w:val="24"/>
        </w:rPr>
        <w:t>Corporate</w:t>
      </w:r>
      <w:r w:rsidRPr="00BB4EA3" w:rsidR="007F4160">
        <w:rPr>
          <w:rFonts w:ascii="Times New Roman" w:hAnsi="Times New Roman" w:cs="Times New Roman"/>
          <w:sz w:val="24"/>
          <w:szCs w:val="24"/>
        </w:rPr>
        <w:t xml:space="preserve"> B</w:t>
      </w:r>
      <w:r w:rsidRPr="00BB4EA3" w:rsidR="00E07715">
        <w:rPr>
          <w:rFonts w:ascii="Times New Roman" w:hAnsi="Times New Roman" w:cs="Times New Roman"/>
          <w:sz w:val="24"/>
          <w:szCs w:val="24"/>
        </w:rPr>
        <w:t xml:space="preserve">ond </w:t>
      </w:r>
      <w:r w:rsidRPr="00BB4EA3" w:rsidR="007F4160">
        <w:rPr>
          <w:rFonts w:ascii="Times New Roman" w:hAnsi="Times New Roman" w:cs="Times New Roman"/>
          <w:sz w:val="24"/>
          <w:szCs w:val="24"/>
        </w:rPr>
        <w:t>S</w:t>
      </w:r>
      <w:r w:rsidRPr="00BB4EA3" w:rsidR="00E07715">
        <w:rPr>
          <w:rFonts w:ascii="Times New Roman" w:hAnsi="Times New Roman" w:cs="Times New Roman"/>
          <w:sz w:val="24"/>
          <w:szCs w:val="24"/>
        </w:rPr>
        <w:t>corecard</w:t>
      </w:r>
      <w:r w:rsidRPr="00BB4EA3" w:rsidR="00E07715">
        <w:rPr>
          <w:rFonts w:ascii="Times New Roman" w:hAnsi="Times New Roman" w:cs="Times New Roman"/>
          <w:sz w:val="24"/>
          <w:szCs w:val="24"/>
        </w:rPr>
        <w:t>)</w:t>
      </w:r>
      <w:r w:rsidRPr="00BB4EA3" w:rsidR="0000133E">
        <w:rPr>
          <w:rFonts w:ascii="Times New Roman" w:hAnsi="Times New Roman" w:cs="Times New Roman"/>
          <w:sz w:val="24"/>
          <w:szCs w:val="24"/>
        </w:rPr>
        <w:t>, a to v </w:t>
      </w:r>
      <w:r w:rsidRPr="00BB4EA3">
        <w:rPr>
          <w:rFonts w:ascii="Times New Roman" w:hAnsi="Times New Roman" w:cs="Times New Roman"/>
          <w:sz w:val="24"/>
          <w:szCs w:val="24"/>
        </w:rPr>
        <w:t xml:space="preserve">českém i </w:t>
      </w:r>
      <w:r>
        <w:fldChar w:fldCharType="begin"/>
      </w:r>
      <w:r>
        <w:instrText xml:space="preserve"> HYPERLINK "https://www.mfcr.cz/en/themes/capital-market/capital-market-in-the-czech-republic/public-consultation--corporate-bond-scor-34918" </w:instrText>
      </w:r>
      <w:r>
        <w:fldChar w:fldCharType="separate"/>
      </w:r>
      <w:r w:rsidRPr="00BB4EA3">
        <w:rPr>
          <w:rStyle w:val="Hyperlink"/>
          <w:rFonts w:ascii="Times New Roman" w:hAnsi="Times New Roman" w:cs="Times New Roman"/>
          <w:sz w:val="24"/>
          <w:szCs w:val="24"/>
        </w:rPr>
        <w:t>anglickém jazyce</w:t>
      </w:r>
      <w:r>
        <w:fldChar w:fldCharType="end"/>
      </w:r>
      <w:r w:rsidRPr="007471AF" w:rsidR="00542734">
        <w:rPr>
          <w:rStyle w:val="Hyperlink"/>
          <w:rFonts w:ascii="Times New Roman" w:hAnsi="Times New Roman" w:cs="Times New Roman"/>
          <w:color w:val="auto"/>
          <w:sz w:val="24"/>
          <w:szCs w:val="24"/>
          <w:u w:val="none"/>
          <w:vertAlign w:val="superscript"/>
        </w:rPr>
        <w:t>9)</w:t>
      </w:r>
      <w:r w:rsidRPr="00BB4EA3" w:rsidR="00E07715">
        <w:rPr>
          <w:rFonts w:ascii="Times New Roman" w:hAnsi="Times New Roman" w:cs="Times New Roman"/>
          <w:sz w:val="24"/>
          <w:szCs w:val="24"/>
        </w:rPr>
        <w:t xml:space="preserve">. </w:t>
      </w:r>
      <w:r w:rsidRPr="00BB4EA3" w:rsidR="00A03030">
        <w:rPr>
          <w:rFonts w:ascii="Times New Roman" w:hAnsi="Times New Roman" w:cs="Times New Roman"/>
          <w:sz w:val="24"/>
          <w:szCs w:val="24"/>
        </w:rPr>
        <w:t xml:space="preserve">Dne 8. </w:t>
      </w:r>
      <w:r w:rsidR="00D834D3">
        <w:rPr>
          <w:rFonts w:ascii="Times New Roman" w:hAnsi="Times New Roman" w:cs="Times New Roman"/>
          <w:sz w:val="24"/>
          <w:szCs w:val="24"/>
        </w:rPr>
        <w:t>8.</w:t>
      </w:r>
      <w:r w:rsidRPr="00BB4EA3" w:rsidR="00A03030">
        <w:rPr>
          <w:rFonts w:ascii="Times New Roman" w:hAnsi="Times New Roman" w:cs="Times New Roman"/>
          <w:sz w:val="24"/>
          <w:szCs w:val="24"/>
        </w:rPr>
        <w:t xml:space="preserve"> 2019 zveřejn</w:t>
      </w:r>
      <w:r w:rsidRPr="00BB4EA3" w:rsidR="0000133E">
        <w:rPr>
          <w:rFonts w:ascii="Times New Roman" w:hAnsi="Times New Roman" w:cs="Times New Roman"/>
          <w:sz w:val="24"/>
          <w:szCs w:val="24"/>
        </w:rPr>
        <w:t xml:space="preserve">ilo MF </w:t>
      </w:r>
      <w:r>
        <w:fldChar w:fldCharType="begin"/>
      </w:r>
      <w:r>
        <w:instrText xml:space="preserve"> HYPERLINK "https://www.mfcr.cz/cs/soukromy-sektor/kapitalovy-trh/podnikani-na-kapitalovem-trhu/2019/verejna-konzultace-planovana-legislativn-35843" </w:instrText>
      </w:r>
      <w:r>
        <w:fldChar w:fldCharType="separate"/>
      </w:r>
      <w:r w:rsidRPr="00BB4EA3" w:rsidR="0000133E">
        <w:rPr>
          <w:rStyle w:val="Hyperlink"/>
          <w:rFonts w:ascii="Times New Roman" w:hAnsi="Times New Roman" w:cs="Times New Roman"/>
          <w:sz w:val="24"/>
          <w:szCs w:val="24"/>
        </w:rPr>
        <w:t>veřejnou konzultaci k </w:t>
      </w:r>
      <w:r w:rsidRPr="00BB4EA3" w:rsidR="007F4160">
        <w:rPr>
          <w:rStyle w:val="Hyperlink"/>
          <w:rFonts w:ascii="Times New Roman" w:hAnsi="Times New Roman" w:cs="Times New Roman"/>
          <w:sz w:val="24"/>
          <w:szCs w:val="24"/>
        </w:rPr>
        <w:t>plánovaným</w:t>
      </w:r>
      <w:r w:rsidRPr="00BB4EA3" w:rsidR="00A03030">
        <w:rPr>
          <w:rStyle w:val="Hyperlink"/>
          <w:rFonts w:ascii="Times New Roman" w:hAnsi="Times New Roman" w:cs="Times New Roman"/>
          <w:sz w:val="24"/>
          <w:szCs w:val="24"/>
        </w:rPr>
        <w:t xml:space="preserve"> legislativní</w:t>
      </w:r>
      <w:r w:rsidRPr="00BB4EA3" w:rsidR="007F4160">
        <w:rPr>
          <w:rStyle w:val="Hyperlink"/>
          <w:rFonts w:ascii="Times New Roman" w:hAnsi="Times New Roman" w:cs="Times New Roman"/>
          <w:sz w:val="24"/>
          <w:szCs w:val="24"/>
        </w:rPr>
        <w:t>m</w:t>
      </w:r>
      <w:r w:rsidRPr="00BB4EA3" w:rsidR="00A03030">
        <w:rPr>
          <w:rStyle w:val="Hyperlink"/>
          <w:rFonts w:ascii="Times New Roman" w:hAnsi="Times New Roman" w:cs="Times New Roman"/>
          <w:sz w:val="24"/>
          <w:szCs w:val="24"/>
        </w:rPr>
        <w:t xml:space="preserve"> opatření</w:t>
      </w:r>
      <w:r w:rsidRPr="00BB4EA3" w:rsidR="007F4160">
        <w:rPr>
          <w:rStyle w:val="Hyperlink"/>
          <w:rFonts w:ascii="Times New Roman" w:hAnsi="Times New Roman" w:cs="Times New Roman"/>
          <w:sz w:val="24"/>
          <w:szCs w:val="24"/>
        </w:rPr>
        <w:t>m</w:t>
      </w:r>
      <w:r>
        <w:fldChar w:fldCharType="end"/>
      </w:r>
      <w:r w:rsidRPr="007471AF" w:rsidR="00542734">
        <w:rPr>
          <w:rStyle w:val="Hyperlink"/>
          <w:rFonts w:ascii="Times New Roman" w:hAnsi="Times New Roman" w:cs="Times New Roman"/>
          <w:color w:val="auto"/>
          <w:sz w:val="24"/>
          <w:szCs w:val="24"/>
          <w:u w:val="none"/>
          <w:vertAlign w:val="superscript"/>
        </w:rPr>
        <w:t>10)</w:t>
      </w:r>
      <w:r w:rsidRPr="00BB4EA3" w:rsidR="00A03030">
        <w:rPr>
          <w:rFonts w:ascii="Times New Roman" w:hAnsi="Times New Roman" w:cs="Times New Roman"/>
          <w:sz w:val="24"/>
          <w:szCs w:val="24"/>
        </w:rPr>
        <w:t xml:space="preserve"> plynoucí</w:t>
      </w:r>
      <w:r w:rsidRPr="00BB4EA3" w:rsidR="007F4160">
        <w:rPr>
          <w:rFonts w:ascii="Times New Roman" w:hAnsi="Times New Roman" w:cs="Times New Roman"/>
          <w:sz w:val="24"/>
          <w:szCs w:val="24"/>
        </w:rPr>
        <w:t xml:space="preserve">m z Koncepce. Dne 20. </w:t>
      </w:r>
      <w:r w:rsidR="00D834D3">
        <w:rPr>
          <w:rFonts w:ascii="Times New Roman" w:hAnsi="Times New Roman" w:cs="Times New Roman"/>
          <w:sz w:val="24"/>
          <w:szCs w:val="24"/>
        </w:rPr>
        <w:t xml:space="preserve">11. </w:t>
      </w:r>
      <w:r w:rsidRPr="00BB4EA3" w:rsidR="007F4160">
        <w:rPr>
          <w:rFonts w:ascii="Times New Roman" w:hAnsi="Times New Roman" w:cs="Times New Roman"/>
          <w:sz w:val="24"/>
          <w:szCs w:val="24"/>
        </w:rPr>
        <w:t xml:space="preserve">2019 zveřejnilo MF </w:t>
      </w:r>
      <w:r>
        <w:fldChar w:fldCharType="begin"/>
      </w:r>
      <w:r>
        <w:instrText xml:space="preserve"> HYPERLINK "https://www.mfcr.cz/cs/soukromy-sektor/kapitalovy-trh/podnikani-na-kapitalovem-trhu/2019/mf-zverejnuje-zpravu-o-gramotnosti-na-ka-36655" </w:instrText>
      </w:r>
      <w:r>
        <w:fldChar w:fldCharType="separate"/>
      </w:r>
      <w:r w:rsidRPr="00BB4EA3" w:rsidR="007F4160">
        <w:rPr>
          <w:rStyle w:val="Hyperlink"/>
          <w:rFonts w:ascii="Times New Roman" w:hAnsi="Times New Roman" w:cs="Times New Roman"/>
          <w:sz w:val="24"/>
          <w:szCs w:val="24"/>
        </w:rPr>
        <w:t>zprávu o gramotnosti na kapitálových trzích</w:t>
      </w:r>
      <w:r>
        <w:fldChar w:fldCharType="end"/>
      </w:r>
      <w:r w:rsidRPr="007471AF" w:rsidR="00542734">
        <w:rPr>
          <w:rStyle w:val="Hyperlink"/>
          <w:rFonts w:ascii="Times New Roman" w:hAnsi="Times New Roman" w:cs="Times New Roman"/>
          <w:color w:val="auto"/>
          <w:sz w:val="24"/>
          <w:szCs w:val="24"/>
          <w:u w:val="none"/>
          <w:vertAlign w:val="superscript"/>
        </w:rPr>
        <w:t>11)</w:t>
      </w:r>
      <w:r w:rsidRPr="00BB4EA3" w:rsidR="007F4160">
        <w:rPr>
          <w:rFonts w:ascii="Times New Roman" w:hAnsi="Times New Roman" w:cs="Times New Roman"/>
          <w:sz w:val="24"/>
          <w:szCs w:val="24"/>
        </w:rPr>
        <w:t xml:space="preserve"> v ČR (</w:t>
      </w:r>
      <w:r w:rsidRPr="00BB4EA3" w:rsidR="007F4160">
        <w:rPr>
          <w:rFonts w:ascii="Times New Roman" w:hAnsi="Times New Roman" w:cs="Times New Roman"/>
          <w:sz w:val="24"/>
          <w:szCs w:val="24"/>
        </w:rPr>
        <w:t>Capital</w:t>
      </w:r>
      <w:r w:rsidRPr="00BB4EA3" w:rsidR="007F4160">
        <w:rPr>
          <w:rFonts w:ascii="Times New Roman" w:hAnsi="Times New Roman" w:cs="Times New Roman"/>
          <w:sz w:val="24"/>
          <w:szCs w:val="24"/>
        </w:rPr>
        <w:t xml:space="preserve"> </w:t>
      </w:r>
      <w:r w:rsidRPr="00BB4EA3" w:rsidR="007F4160">
        <w:rPr>
          <w:rFonts w:ascii="Times New Roman" w:hAnsi="Times New Roman" w:cs="Times New Roman"/>
          <w:sz w:val="24"/>
          <w:szCs w:val="24"/>
        </w:rPr>
        <w:t>Markets</w:t>
      </w:r>
      <w:r w:rsidRPr="00BB4EA3" w:rsidR="007F4160">
        <w:rPr>
          <w:rFonts w:ascii="Times New Roman" w:hAnsi="Times New Roman" w:cs="Times New Roman"/>
          <w:sz w:val="24"/>
          <w:szCs w:val="24"/>
        </w:rPr>
        <w:t xml:space="preserve"> </w:t>
      </w:r>
      <w:r w:rsidRPr="00BB4EA3" w:rsidR="007F4160">
        <w:rPr>
          <w:rFonts w:ascii="Times New Roman" w:hAnsi="Times New Roman" w:cs="Times New Roman"/>
          <w:sz w:val="24"/>
          <w:szCs w:val="24"/>
        </w:rPr>
        <w:t>Literacy</w:t>
      </w:r>
      <w:r w:rsidRPr="00BB4EA3" w:rsidR="007F4160">
        <w:rPr>
          <w:rFonts w:ascii="Times New Roman" w:hAnsi="Times New Roman" w:cs="Times New Roman"/>
          <w:sz w:val="24"/>
          <w:szCs w:val="24"/>
        </w:rPr>
        <w:t xml:space="preserve"> in </w:t>
      </w:r>
      <w:r w:rsidRPr="00BB4EA3" w:rsidR="007F4160">
        <w:rPr>
          <w:rFonts w:ascii="Times New Roman" w:hAnsi="Times New Roman" w:cs="Times New Roman"/>
          <w:sz w:val="24"/>
          <w:szCs w:val="24"/>
        </w:rPr>
        <w:t>the</w:t>
      </w:r>
      <w:r w:rsidRPr="00BB4EA3" w:rsidR="007F4160">
        <w:rPr>
          <w:rFonts w:ascii="Times New Roman" w:hAnsi="Times New Roman" w:cs="Times New Roman"/>
          <w:sz w:val="24"/>
          <w:szCs w:val="24"/>
        </w:rPr>
        <w:t xml:space="preserve"> Czech Republic), jejíž přípravu financovala Evropská komise a která se zabývá zvyšováním povědomí malých a středních podniků o možnostech fina</w:t>
      </w:r>
      <w:r w:rsidRPr="00BB4EA3">
        <w:rPr>
          <w:rFonts w:ascii="Times New Roman" w:hAnsi="Times New Roman" w:cs="Times New Roman"/>
          <w:sz w:val="24"/>
          <w:szCs w:val="24"/>
        </w:rPr>
        <w:t xml:space="preserve">ncování se přes kapitálový trh. </w:t>
      </w:r>
      <w:r w:rsidR="0013019E">
        <w:rPr>
          <w:rFonts w:ascii="Times New Roman" w:hAnsi="Times New Roman" w:cs="Times New Roman"/>
          <w:sz w:val="24"/>
          <w:szCs w:val="24"/>
        </w:rPr>
        <w:t xml:space="preserve">V srpnu 2019 vznikla </w:t>
      </w:r>
      <w:r w:rsidRPr="0013019E" w:rsidR="0013019E">
        <w:rPr>
          <w:rFonts w:ascii="Times New Roman" w:hAnsi="Times New Roman" w:cs="Times New Roman"/>
          <w:sz w:val="24"/>
          <w:szCs w:val="24"/>
        </w:rPr>
        <w:t xml:space="preserve">ČMZRB investiční </w:t>
      </w:r>
      <w:r w:rsidR="0013019E">
        <w:rPr>
          <w:rFonts w:ascii="Times New Roman" w:hAnsi="Times New Roman" w:cs="Times New Roman"/>
          <w:sz w:val="24"/>
          <w:szCs w:val="24"/>
        </w:rPr>
        <w:t>(</w:t>
      </w:r>
      <w:r w:rsidRPr="0013019E" w:rsidR="0013019E">
        <w:rPr>
          <w:rFonts w:ascii="Times New Roman" w:hAnsi="Times New Roman" w:cs="Times New Roman"/>
          <w:sz w:val="24"/>
          <w:szCs w:val="24"/>
        </w:rPr>
        <w:t>dceřiná společnost</w:t>
      </w:r>
      <w:r w:rsidR="0013019E">
        <w:rPr>
          <w:rFonts w:ascii="Times New Roman" w:hAnsi="Times New Roman" w:cs="Times New Roman"/>
          <w:sz w:val="24"/>
          <w:szCs w:val="24"/>
        </w:rPr>
        <w:t xml:space="preserve"> Českomoravské záruční a rozvojová banky</w:t>
      </w:r>
      <w:r w:rsidRPr="0013019E" w:rsidR="0013019E">
        <w:rPr>
          <w:rFonts w:ascii="Times New Roman" w:hAnsi="Times New Roman" w:cs="Times New Roman"/>
          <w:sz w:val="24"/>
          <w:szCs w:val="24"/>
        </w:rPr>
        <w:t>, a.s.</w:t>
      </w:r>
      <w:r w:rsidR="0013019E">
        <w:rPr>
          <w:rFonts w:ascii="Times New Roman" w:hAnsi="Times New Roman" w:cs="Times New Roman"/>
          <w:sz w:val="24"/>
          <w:szCs w:val="24"/>
        </w:rPr>
        <w:t>)</w:t>
      </w:r>
      <w:r w:rsidRPr="0013019E" w:rsidR="0013019E">
        <w:rPr>
          <w:rFonts w:ascii="Times New Roman" w:hAnsi="Times New Roman" w:cs="Times New Roman"/>
          <w:sz w:val="24"/>
          <w:szCs w:val="24"/>
        </w:rPr>
        <w:t xml:space="preserve">, jejímž cílem je podpořit veřejné a soukromé investice prostřednictvím kapitálových a </w:t>
      </w:r>
      <w:r w:rsidRPr="0013019E" w:rsidR="0013019E">
        <w:rPr>
          <w:rFonts w:ascii="Times New Roman" w:hAnsi="Times New Roman" w:cs="Times New Roman"/>
          <w:sz w:val="24"/>
          <w:szCs w:val="24"/>
        </w:rPr>
        <w:t>kvazikapitálových</w:t>
      </w:r>
      <w:r w:rsidRPr="0013019E" w:rsidR="0013019E">
        <w:rPr>
          <w:rFonts w:ascii="Times New Roman" w:hAnsi="Times New Roman" w:cs="Times New Roman"/>
          <w:sz w:val="24"/>
          <w:szCs w:val="24"/>
        </w:rPr>
        <w:t xml:space="preserve"> finančních nástrojů.</w:t>
      </w:r>
      <w:r w:rsidR="0013019E">
        <w:rPr>
          <w:rFonts w:ascii="Times New Roman" w:hAnsi="Times New Roman" w:cs="Times New Roman"/>
          <w:sz w:val="24"/>
          <w:szCs w:val="24"/>
        </w:rPr>
        <w:t xml:space="preserve"> </w:t>
      </w:r>
      <w:r w:rsidRPr="0013019E" w:rsidR="0013019E">
        <w:rPr>
          <w:rFonts w:ascii="Times New Roman" w:hAnsi="Times New Roman" w:cs="Times New Roman"/>
          <w:sz w:val="24"/>
          <w:szCs w:val="24"/>
        </w:rPr>
        <w:t xml:space="preserve">V </w:t>
      </w:r>
      <w:r w:rsidR="0013019E">
        <w:rPr>
          <w:rFonts w:ascii="Times New Roman" w:hAnsi="Times New Roman" w:cs="Times New Roman"/>
          <w:sz w:val="24"/>
          <w:szCs w:val="24"/>
        </w:rPr>
        <w:t xml:space="preserve">říjnu 2020 spustilo </w:t>
      </w:r>
      <w:r w:rsidRPr="0013019E" w:rsidR="0013019E">
        <w:rPr>
          <w:rFonts w:ascii="Times New Roman" w:hAnsi="Times New Roman" w:cs="Times New Roman"/>
          <w:sz w:val="24"/>
          <w:szCs w:val="24"/>
        </w:rPr>
        <w:t xml:space="preserve">Ministerstvo průmyslu a obchodu </w:t>
      </w:r>
      <w:r w:rsidR="0013019E">
        <w:rPr>
          <w:rFonts w:ascii="Times New Roman" w:hAnsi="Times New Roman" w:cs="Times New Roman"/>
          <w:sz w:val="24"/>
          <w:szCs w:val="24"/>
        </w:rPr>
        <w:t>ve spolupráci s ČMZRB investiční nový finanční nástroj IPO Fond</w:t>
      </w:r>
      <w:r w:rsidR="001C2CD4">
        <w:rPr>
          <w:rFonts w:ascii="Times New Roman" w:hAnsi="Times New Roman" w:cs="Times New Roman"/>
          <w:sz w:val="24"/>
          <w:szCs w:val="24"/>
        </w:rPr>
        <w:t xml:space="preserve"> (v objemu 330 mil. Kč)</w:t>
      </w:r>
      <w:r w:rsidR="0013019E">
        <w:rPr>
          <w:rFonts w:ascii="Times New Roman" w:hAnsi="Times New Roman" w:cs="Times New Roman"/>
          <w:sz w:val="24"/>
          <w:szCs w:val="24"/>
        </w:rPr>
        <w:t xml:space="preserve">, který </w:t>
      </w:r>
      <w:r w:rsidRPr="0013019E" w:rsidR="0013019E">
        <w:rPr>
          <w:rFonts w:ascii="Times New Roman" w:hAnsi="Times New Roman" w:cs="Times New Roman"/>
          <w:sz w:val="24"/>
          <w:szCs w:val="24"/>
        </w:rPr>
        <w:t xml:space="preserve">cílí na rozvoj trhu kapitálového financování pro malé a střední podniky se zájmem o získání kapitálu prostřednictvím </w:t>
      </w:r>
      <w:r w:rsidR="0013019E">
        <w:rPr>
          <w:rFonts w:ascii="Times New Roman" w:hAnsi="Times New Roman" w:cs="Times New Roman"/>
          <w:sz w:val="24"/>
          <w:szCs w:val="24"/>
        </w:rPr>
        <w:t>primární emise akcií.</w:t>
      </w:r>
    </w:p>
    <w:p w:rsidR="00E07715"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Dne 16. </w:t>
      </w:r>
      <w:r w:rsidR="00D834D3">
        <w:rPr>
          <w:rFonts w:ascii="Times New Roman" w:hAnsi="Times New Roman" w:cs="Times New Roman"/>
          <w:sz w:val="24"/>
          <w:szCs w:val="24"/>
        </w:rPr>
        <w:t xml:space="preserve">1. </w:t>
      </w:r>
      <w:r w:rsidRPr="00BB4EA3">
        <w:rPr>
          <w:rFonts w:ascii="Times New Roman" w:hAnsi="Times New Roman" w:cs="Times New Roman"/>
          <w:sz w:val="24"/>
          <w:szCs w:val="24"/>
        </w:rPr>
        <w:t xml:space="preserve">2020 zveřejnilo MF </w:t>
      </w:r>
      <w:r>
        <w:fldChar w:fldCharType="begin"/>
      </w:r>
      <w:r>
        <w:instrText xml:space="preserve"> HYPERLINK "https://www.mfcr.cz/cs/soukromy-sektor/kapitalovy-trh/podnikani-na-kapitalovem-trhu/2020/publikace-weboveho-rozcestniku-o-kapital-37136" </w:instrText>
      </w:r>
      <w:r>
        <w:fldChar w:fldCharType="separate"/>
      </w:r>
      <w:r w:rsidRPr="00BB4EA3">
        <w:rPr>
          <w:rStyle w:val="Hyperlink"/>
          <w:rFonts w:ascii="Times New Roman" w:hAnsi="Times New Roman" w:cs="Times New Roman"/>
          <w:sz w:val="24"/>
          <w:szCs w:val="24"/>
        </w:rPr>
        <w:t>webový rozcestník o kapitálovém trhu</w:t>
      </w:r>
      <w:r>
        <w:fldChar w:fldCharType="end"/>
      </w:r>
      <w:r w:rsidRPr="007471AF" w:rsidR="00542734">
        <w:rPr>
          <w:rStyle w:val="Hyperlink"/>
          <w:rFonts w:ascii="Times New Roman" w:hAnsi="Times New Roman" w:cs="Times New Roman"/>
          <w:color w:val="auto"/>
          <w:sz w:val="24"/>
          <w:szCs w:val="24"/>
          <w:u w:val="none"/>
          <w:vertAlign w:val="superscript"/>
        </w:rPr>
        <w:t>12)</w:t>
      </w:r>
      <w:r w:rsidRPr="00BB4EA3">
        <w:rPr>
          <w:rFonts w:ascii="Times New Roman" w:hAnsi="Times New Roman" w:cs="Times New Roman"/>
          <w:sz w:val="24"/>
          <w:szCs w:val="24"/>
        </w:rPr>
        <w:t xml:space="preserve"> „Vše o kapitálovém trhu v ČR na jednom místě – webový rozcestník“</w:t>
      </w:r>
      <w:r w:rsidRPr="00BB4EA3" w:rsidR="00746A56">
        <w:rPr>
          <w:rFonts w:ascii="Times New Roman" w:hAnsi="Times New Roman" w:cs="Times New Roman"/>
          <w:sz w:val="24"/>
          <w:szCs w:val="24"/>
        </w:rPr>
        <w:t xml:space="preserve"> (v českém i </w:t>
      </w:r>
      <w:r>
        <w:fldChar w:fldCharType="begin"/>
      </w:r>
      <w:r>
        <w:instrText xml:space="preserve"> HYPERLINK "https://www.mfcr.cz/en/themes/capital-market/capital-market-in-the-czech-republic/publication-of-the-all-about-the-capital-37137" </w:instrText>
      </w:r>
      <w:r>
        <w:fldChar w:fldCharType="separate"/>
      </w:r>
      <w:r w:rsidRPr="00BB4EA3" w:rsidR="007C10E9">
        <w:rPr>
          <w:rStyle w:val="Hyperlink"/>
          <w:rFonts w:ascii="Times New Roman" w:hAnsi="Times New Roman" w:cs="Times New Roman"/>
          <w:sz w:val="24"/>
          <w:szCs w:val="24"/>
        </w:rPr>
        <w:t xml:space="preserve">v </w:t>
      </w:r>
      <w:r w:rsidRPr="00BB4EA3" w:rsidR="00746A56">
        <w:rPr>
          <w:rStyle w:val="Hyperlink"/>
          <w:rFonts w:ascii="Times New Roman" w:hAnsi="Times New Roman" w:cs="Times New Roman"/>
          <w:sz w:val="24"/>
          <w:szCs w:val="24"/>
        </w:rPr>
        <w:t>anglickém jazyce</w:t>
      </w:r>
      <w:r>
        <w:fldChar w:fldCharType="end"/>
      </w:r>
      <w:r w:rsidRPr="007471AF" w:rsidR="00542734">
        <w:rPr>
          <w:rStyle w:val="Hyperlink"/>
          <w:rFonts w:ascii="Times New Roman" w:hAnsi="Times New Roman" w:cs="Times New Roman"/>
          <w:color w:val="auto"/>
          <w:sz w:val="24"/>
          <w:szCs w:val="24"/>
          <w:u w:val="none"/>
          <w:vertAlign w:val="superscript"/>
        </w:rPr>
        <w:t>13</w:t>
      </w:r>
      <w:r w:rsidR="00A87492">
        <w:rPr>
          <w:rStyle w:val="Hyperlink"/>
          <w:rFonts w:ascii="Times New Roman" w:hAnsi="Times New Roman" w:cs="Times New Roman"/>
          <w:color w:val="auto"/>
          <w:sz w:val="24"/>
          <w:szCs w:val="24"/>
          <w:u w:val="none"/>
          <w:vertAlign w:val="superscript"/>
        </w:rPr>
        <w:t>)</w:t>
      </w:r>
      <w:r w:rsidRPr="00BB4EA3" w:rsidR="00746A56">
        <w:rPr>
          <w:rFonts w:ascii="Times New Roman" w:hAnsi="Times New Roman" w:cs="Times New Roman"/>
          <w:sz w:val="24"/>
          <w:szCs w:val="24"/>
        </w:rPr>
        <w:t>)</w:t>
      </w:r>
      <w:r w:rsidRPr="00BB4EA3" w:rsidR="00C418D8">
        <w:rPr>
          <w:rFonts w:ascii="Times New Roman" w:hAnsi="Times New Roman" w:cs="Times New Roman"/>
          <w:sz w:val="24"/>
          <w:szCs w:val="24"/>
        </w:rPr>
        <w:t>. Dne 20. </w:t>
      </w:r>
      <w:r w:rsidR="00D834D3">
        <w:rPr>
          <w:rFonts w:ascii="Times New Roman" w:hAnsi="Times New Roman" w:cs="Times New Roman"/>
          <w:sz w:val="24"/>
          <w:szCs w:val="24"/>
        </w:rPr>
        <w:t xml:space="preserve">1. </w:t>
      </w:r>
      <w:r w:rsidRPr="00BB4EA3">
        <w:rPr>
          <w:rFonts w:ascii="Times New Roman" w:hAnsi="Times New Roman" w:cs="Times New Roman"/>
          <w:sz w:val="24"/>
          <w:szCs w:val="24"/>
        </w:rPr>
        <w:t xml:space="preserve">2020 zveřejnilo MF veřejnou konzultaci ke </w:t>
      </w:r>
      <w:r>
        <w:fldChar w:fldCharType="begin"/>
      </w:r>
      <w:r>
        <w:instrText xml:space="preserve"> HYPERLINK "https://www.mfcr.cz/cs/soukromy-sektor/kapitalovy-trh/podnikani-na-kapitalovem-trhu/2020/verejna-konzultace--scorecard-korporatni-37189" </w:instrText>
      </w:r>
      <w:r>
        <w:fldChar w:fldCharType="separate"/>
      </w:r>
      <w:r w:rsidRPr="00BB4EA3" w:rsidR="00BB4DE8">
        <w:rPr>
          <w:rStyle w:val="Hyperlink"/>
          <w:rFonts w:ascii="Times New Roman" w:hAnsi="Times New Roman" w:cs="Times New Roman"/>
          <w:sz w:val="24"/>
          <w:szCs w:val="24"/>
        </w:rPr>
        <w:t>S</w:t>
      </w:r>
      <w:r w:rsidRPr="00BB4EA3">
        <w:rPr>
          <w:rStyle w:val="Hyperlink"/>
          <w:rFonts w:ascii="Times New Roman" w:hAnsi="Times New Roman" w:cs="Times New Roman"/>
          <w:sz w:val="24"/>
          <w:szCs w:val="24"/>
        </w:rPr>
        <w:t>corecardu</w:t>
      </w:r>
      <w:r w:rsidRPr="00BB4EA3">
        <w:rPr>
          <w:rStyle w:val="Hyperlink"/>
          <w:rFonts w:ascii="Times New Roman" w:hAnsi="Times New Roman" w:cs="Times New Roman"/>
          <w:sz w:val="24"/>
          <w:szCs w:val="24"/>
        </w:rPr>
        <w:t xml:space="preserve"> korporátních dluhopisů 2.0</w:t>
      </w:r>
      <w:r>
        <w:fldChar w:fldCharType="end"/>
      </w:r>
      <w:r w:rsidRPr="007471AF" w:rsidR="00542734">
        <w:rPr>
          <w:rStyle w:val="Hyperlink"/>
          <w:rFonts w:ascii="Times New Roman" w:hAnsi="Times New Roman" w:cs="Times New Roman"/>
          <w:color w:val="auto"/>
          <w:sz w:val="24"/>
          <w:szCs w:val="24"/>
          <w:u w:val="none"/>
          <w:vertAlign w:val="superscript"/>
        </w:rPr>
        <w:t>14)</w:t>
      </w:r>
      <w:r w:rsidRPr="00BB4EA3">
        <w:rPr>
          <w:rFonts w:ascii="Times New Roman" w:hAnsi="Times New Roman" w:cs="Times New Roman"/>
          <w:sz w:val="24"/>
          <w:szCs w:val="24"/>
        </w:rPr>
        <w:t xml:space="preserve">, kde byly zohledněny výsledky první konzultace a byly doplněny další doprovodné dokumenty, konkrétně Orientace ve finančních výkazech a Kalkulačka skóre ke </w:t>
      </w:r>
      <w:r w:rsidRPr="00BB4EA3">
        <w:rPr>
          <w:rFonts w:ascii="Times New Roman" w:hAnsi="Times New Roman" w:cs="Times New Roman"/>
          <w:sz w:val="24"/>
          <w:szCs w:val="24"/>
        </w:rPr>
        <w:t>Scorecardu</w:t>
      </w:r>
      <w:r w:rsidRPr="00BB4EA3">
        <w:rPr>
          <w:rFonts w:ascii="Times New Roman" w:hAnsi="Times New Roman" w:cs="Times New Roman"/>
          <w:sz w:val="24"/>
          <w:szCs w:val="24"/>
        </w:rPr>
        <w:t xml:space="preserve"> korporátních dluhopisů. </w:t>
      </w:r>
      <w:r w:rsidRPr="00BB4EA3" w:rsidR="00746A56">
        <w:rPr>
          <w:rFonts w:ascii="Times New Roman" w:hAnsi="Times New Roman" w:cs="Times New Roman"/>
          <w:sz w:val="24"/>
          <w:szCs w:val="24"/>
        </w:rPr>
        <w:t xml:space="preserve">Dne 4. </w:t>
      </w:r>
      <w:r w:rsidR="00D834D3">
        <w:rPr>
          <w:rFonts w:ascii="Times New Roman" w:hAnsi="Times New Roman" w:cs="Times New Roman"/>
          <w:sz w:val="24"/>
          <w:szCs w:val="24"/>
        </w:rPr>
        <w:t>5.</w:t>
      </w:r>
      <w:r w:rsidRPr="00BB4EA3" w:rsidR="00746A56">
        <w:rPr>
          <w:rFonts w:ascii="Times New Roman" w:hAnsi="Times New Roman" w:cs="Times New Roman"/>
          <w:sz w:val="24"/>
          <w:szCs w:val="24"/>
        </w:rPr>
        <w:t xml:space="preserve"> 2020 </w:t>
      </w:r>
      <w:r w:rsidRPr="00BB4EA3" w:rsidR="00B2182F">
        <w:rPr>
          <w:rFonts w:ascii="Times New Roman" w:hAnsi="Times New Roman" w:cs="Times New Roman"/>
          <w:sz w:val="24"/>
          <w:szCs w:val="24"/>
        </w:rPr>
        <w:t xml:space="preserve">publikovalo MF </w:t>
      </w:r>
      <w:r>
        <w:fldChar w:fldCharType="begin"/>
      </w:r>
      <w:r>
        <w:instrText xml:space="preserve"> HYPERLINK "https://www.mfcr.cz/cs/soukromy-sektor/kapitalovy-trh/investicni-fondy/2020/novy-preklad-zakona-o-investicnich-spole-38399" </w:instrText>
      </w:r>
      <w:r>
        <w:fldChar w:fldCharType="separate"/>
      </w:r>
      <w:r w:rsidRPr="00BB4EA3" w:rsidR="00C46F29">
        <w:rPr>
          <w:rStyle w:val="Hyperlink"/>
          <w:rFonts w:ascii="Times New Roman" w:hAnsi="Times New Roman" w:cs="Times New Roman"/>
          <w:sz w:val="24"/>
          <w:szCs w:val="24"/>
        </w:rPr>
        <w:t xml:space="preserve">nový </w:t>
      </w:r>
      <w:r w:rsidRPr="00BB4EA3" w:rsidR="00B2182F">
        <w:rPr>
          <w:rStyle w:val="Hyperlink"/>
          <w:rFonts w:ascii="Times New Roman" w:hAnsi="Times New Roman" w:cs="Times New Roman"/>
          <w:sz w:val="24"/>
          <w:szCs w:val="24"/>
        </w:rPr>
        <w:t>překlad</w:t>
      </w:r>
      <w:r>
        <w:fldChar w:fldCharType="end"/>
      </w:r>
      <w:r w:rsidRPr="007471AF" w:rsidR="00542734">
        <w:rPr>
          <w:rStyle w:val="Hyperlink"/>
          <w:rFonts w:ascii="Times New Roman" w:hAnsi="Times New Roman" w:cs="Times New Roman"/>
          <w:color w:val="auto"/>
          <w:sz w:val="24"/>
          <w:szCs w:val="24"/>
          <w:u w:val="none"/>
          <w:vertAlign w:val="superscript"/>
        </w:rPr>
        <w:t>15)</w:t>
      </w:r>
      <w:r w:rsidRPr="00BB4EA3" w:rsidR="00B2182F">
        <w:rPr>
          <w:rFonts w:ascii="Times New Roman" w:hAnsi="Times New Roman" w:cs="Times New Roman"/>
          <w:sz w:val="24"/>
          <w:szCs w:val="24"/>
        </w:rPr>
        <w:t xml:space="preserve"> zákona o investičních společnostech a investičních fondech </w:t>
      </w:r>
      <w:r>
        <w:fldChar w:fldCharType="begin"/>
      </w:r>
      <w:r>
        <w:instrText xml:space="preserve"> HYPERLINK "https://www.mfcr.cz/en/themes/capital-market/capital-market-in-the-czech-republic/new-english-translation-of-the-act-on-ma-38401" </w:instrText>
      </w:r>
      <w:r>
        <w:fldChar w:fldCharType="separate"/>
      </w:r>
      <w:r w:rsidRPr="00BB4EA3" w:rsidR="00B2182F">
        <w:rPr>
          <w:rStyle w:val="Hyperlink"/>
          <w:rFonts w:ascii="Times New Roman" w:hAnsi="Times New Roman" w:cs="Times New Roman"/>
          <w:sz w:val="24"/>
          <w:szCs w:val="24"/>
        </w:rPr>
        <w:t>do anglického jazyka</w:t>
      </w:r>
      <w:r>
        <w:fldChar w:fldCharType="end"/>
      </w:r>
      <w:r w:rsidRPr="007471AF" w:rsidR="00542734">
        <w:rPr>
          <w:rStyle w:val="Hyperlink"/>
          <w:rFonts w:ascii="Times New Roman" w:hAnsi="Times New Roman" w:cs="Times New Roman"/>
          <w:color w:val="auto"/>
          <w:sz w:val="24"/>
          <w:szCs w:val="24"/>
          <w:u w:val="none"/>
          <w:vertAlign w:val="superscript"/>
        </w:rPr>
        <w:t>16)</w:t>
      </w:r>
      <w:r w:rsidRPr="00BB4EA3" w:rsidR="00B2182F">
        <w:rPr>
          <w:rFonts w:ascii="Times New Roman" w:hAnsi="Times New Roman" w:cs="Times New Roman"/>
          <w:sz w:val="24"/>
          <w:szCs w:val="24"/>
        </w:rPr>
        <w:t xml:space="preserve">. Dne 9. </w:t>
      </w:r>
      <w:r w:rsidR="00D834D3">
        <w:rPr>
          <w:rFonts w:ascii="Times New Roman" w:hAnsi="Times New Roman" w:cs="Times New Roman"/>
          <w:sz w:val="24"/>
          <w:szCs w:val="24"/>
        </w:rPr>
        <w:t xml:space="preserve">7. </w:t>
      </w:r>
      <w:r w:rsidRPr="00BB4EA3" w:rsidR="00B2182F">
        <w:rPr>
          <w:rFonts w:ascii="Times New Roman" w:hAnsi="Times New Roman" w:cs="Times New Roman"/>
          <w:sz w:val="24"/>
          <w:szCs w:val="24"/>
        </w:rPr>
        <w:t xml:space="preserve">2020 publikovalo MF </w:t>
      </w:r>
      <w:r>
        <w:fldChar w:fldCharType="begin"/>
      </w:r>
      <w:r>
        <w:instrText xml:space="preserve"> HYPERLINK "https://www.mfcr.cz/cs/soukromy-sektor/kapitalovy-trh/podnikani-na-kapitalovem-trhu/2020/aktualizovane-preklady-zakona-o-podnikan-38950" </w:instrText>
      </w:r>
      <w:r>
        <w:fldChar w:fldCharType="separate"/>
      </w:r>
      <w:r w:rsidRPr="00BB4EA3" w:rsidR="00B2182F">
        <w:rPr>
          <w:rStyle w:val="Hyperlink"/>
          <w:rFonts w:ascii="Times New Roman" w:hAnsi="Times New Roman" w:cs="Times New Roman"/>
          <w:sz w:val="24"/>
          <w:szCs w:val="24"/>
        </w:rPr>
        <w:t>aktualizované překlady</w:t>
      </w:r>
      <w:r>
        <w:fldChar w:fldCharType="end"/>
      </w:r>
      <w:r w:rsidRPr="007471AF" w:rsidR="00542734">
        <w:rPr>
          <w:rStyle w:val="Hyperlink"/>
          <w:rFonts w:ascii="Times New Roman" w:hAnsi="Times New Roman" w:cs="Times New Roman"/>
          <w:color w:val="auto"/>
          <w:sz w:val="24"/>
          <w:szCs w:val="24"/>
          <w:u w:val="none"/>
          <w:vertAlign w:val="superscript"/>
        </w:rPr>
        <w:t>17)</w:t>
      </w:r>
      <w:r w:rsidRPr="00BB4EA3" w:rsidR="00C418D8">
        <w:rPr>
          <w:rFonts w:ascii="Times New Roman" w:hAnsi="Times New Roman" w:cs="Times New Roman"/>
          <w:sz w:val="24"/>
          <w:szCs w:val="24"/>
        </w:rPr>
        <w:t xml:space="preserve"> zákona o podnikání na </w:t>
      </w:r>
      <w:r w:rsidRPr="00BB4EA3" w:rsidR="00B2182F">
        <w:rPr>
          <w:rFonts w:ascii="Times New Roman" w:hAnsi="Times New Roman" w:cs="Times New Roman"/>
          <w:sz w:val="24"/>
          <w:szCs w:val="24"/>
        </w:rPr>
        <w:t xml:space="preserve">kapitálovém trhu a zákona o dluhopisech </w:t>
      </w:r>
      <w:r>
        <w:fldChar w:fldCharType="begin"/>
      </w:r>
      <w:r>
        <w:instrText xml:space="preserve"> HYPERLINK "https://www.mfcr.cz/en/themes/capital-market/capital-market-in-the-czech-republic/updated-english-translations-of-the-capi-38951" </w:instrText>
      </w:r>
      <w:r>
        <w:fldChar w:fldCharType="separate"/>
      </w:r>
      <w:r w:rsidRPr="00BB4EA3" w:rsidR="00B2182F">
        <w:rPr>
          <w:rStyle w:val="Hyperlink"/>
          <w:rFonts w:ascii="Times New Roman" w:hAnsi="Times New Roman" w:cs="Times New Roman"/>
          <w:sz w:val="24"/>
          <w:szCs w:val="24"/>
        </w:rPr>
        <w:t>do</w:t>
      </w:r>
      <w:r w:rsidR="001C2CD4">
        <w:rPr>
          <w:rStyle w:val="Hyperlink"/>
          <w:rFonts w:ascii="Times New Roman" w:hAnsi="Times New Roman" w:cs="Times New Roman"/>
          <w:sz w:val="24"/>
          <w:szCs w:val="24"/>
        </w:rPr>
        <w:t> </w:t>
      </w:r>
      <w:r w:rsidRPr="00BB4EA3" w:rsidR="00B2182F">
        <w:rPr>
          <w:rStyle w:val="Hyperlink"/>
          <w:rFonts w:ascii="Times New Roman" w:hAnsi="Times New Roman" w:cs="Times New Roman"/>
          <w:sz w:val="24"/>
          <w:szCs w:val="24"/>
        </w:rPr>
        <w:t>anglického jazyka</w:t>
      </w:r>
      <w:r>
        <w:fldChar w:fldCharType="end"/>
      </w:r>
      <w:r w:rsidRPr="007471AF" w:rsidR="00542734">
        <w:rPr>
          <w:rStyle w:val="Hyperlink"/>
          <w:rFonts w:ascii="Times New Roman" w:hAnsi="Times New Roman" w:cs="Times New Roman"/>
          <w:color w:val="auto"/>
          <w:sz w:val="24"/>
          <w:szCs w:val="24"/>
          <w:u w:val="none"/>
          <w:vertAlign w:val="superscript"/>
        </w:rPr>
        <w:t>18)</w:t>
      </w:r>
      <w:r w:rsidRPr="00BB4EA3" w:rsidR="00B2182F">
        <w:rPr>
          <w:rFonts w:ascii="Times New Roman" w:hAnsi="Times New Roman" w:cs="Times New Roman"/>
          <w:sz w:val="24"/>
          <w:szCs w:val="24"/>
        </w:rPr>
        <w:t>.</w:t>
      </w:r>
    </w:p>
    <w:p w:rsidR="00BB4DE8"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Dne 9. </w:t>
      </w:r>
      <w:r w:rsidR="00D834D3">
        <w:rPr>
          <w:rFonts w:ascii="Times New Roman" w:hAnsi="Times New Roman" w:cs="Times New Roman"/>
          <w:sz w:val="24"/>
          <w:szCs w:val="24"/>
        </w:rPr>
        <w:t xml:space="preserve">4. </w:t>
      </w:r>
      <w:r w:rsidRPr="00BB4EA3">
        <w:rPr>
          <w:rFonts w:ascii="Times New Roman" w:hAnsi="Times New Roman" w:cs="Times New Roman"/>
          <w:sz w:val="24"/>
          <w:szCs w:val="24"/>
        </w:rPr>
        <w:t xml:space="preserve">2020 byl </w:t>
      </w:r>
      <w:r>
        <w:fldChar w:fldCharType="begin"/>
      </w:r>
      <w:r>
        <w:instrText xml:space="preserve"> HYPERLINK "https://www.mfcr.cz/cs/soukromy-sektor/kapitalovy-trh/podnikani-na-kapitalovem-trhu/2020/zahajeni-meziresortniho-pripominkoveho-r-38154" </w:instrText>
      </w:r>
      <w:r>
        <w:fldChar w:fldCharType="separate"/>
      </w:r>
      <w:r w:rsidRPr="00BB4EA3">
        <w:rPr>
          <w:rStyle w:val="Hyperlink"/>
          <w:rFonts w:ascii="Times New Roman" w:hAnsi="Times New Roman" w:cs="Times New Roman"/>
          <w:sz w:val="24"/>
          <w:szCs w:val="24"/>
        </w:rPr>
        <w:t>do meziresortního připomínkového řízení</w:t>
      </w:r>
      <w:r>
        <w:fldChar w:fldCharType="end"/>
      </w:r>
      <w:r w:rsidRPr="007471AF" w:rsidR="00542734">
        <w:rPr>
          <w:rStyle w:val="Hyperlink"/>
          <w:rFonts w:ascii="Times New Roman" w:hAnsi="Times New Roman" w:cs="Times New Roman"/>
          <w:color w:val="auto"/>
          <w:sz w:val="24"/>
          <w:szCs w:val="24"/>
          <w:u w:val="none"/>
          <w:vertAlign w:val="superscript"/>
        </w:rPr>
        <w:t>19)</w:t>
      </w:r>
      <w:r w:rsidRPr="00BB4EA3">
        <w:rPr>
          <w:rFonts w:ascii="Times New Roman" w:hAnsi="Times New Roman" w:cs="Times New Roman"/>
          <w:sz w:val="24"/>
          <w:szCs w:val="24"/>
        </w:rPr>
        <w:t xml:space="preserve"> předložen návrh zákona, kterým se mění některé zákony v souvislosti s rozvojem kapitálového trhu</w:t>
      </w:r>
      <w:r w:rsidR="00D834D3">
        <w:rPr>
          <w:rFonts w:ascii="Times New Roman" w:hAnsi="Times New Roman" w:cs="Times New Roman"/>
          <w:sz w:val="24"/>
          <w:szCs w:val="24"/>
        </w:rPr>
        <w:t>,</w:t>
      </w:r>
      <w:r w:rsidRPr="00BB4EA3">
        <w:rPr>
          <w:rFonts w:ascii="Times New Roman" w:hAnsi="Times New Roman" w:cs="Times New Roman"/>
          <w:sz w:val="24"/>
          <w:szCs w:val="24"/>
        </w:rPr>
        <w:t xml:space="preserve"> a </w:t>
      </w:r>
      <w:r w:rsidR="00B51BC9">
        <w:rPr>
          <w:rFonts w:ascii="Times New Roman" w:hAnsi="Times New Roman" w:cs="Times New Roman"/>
          <w:sz w:val="24"/>
          <w:szCs w:val="24"/>
        </w:rPr>
        <w:t xml:space="preserve">zároveň byl </w:t>
      </w:r>
      <w:r w:rsidRPr="00BB4EA3">
        <w:rPr>
          <w:rFonts w:ascii="Times New Roman" w:hAnsi="Times New Roman" w:cs="Times New Roman"/>
          <w:sz w:val="24"/>
          <w:szCs w:val="24"/>
        </w:rPr>
        <w:t xml:space="preserve">tento návrh zákona publikován k veřejné konzultaci. </w:t>
      </w:r>
      <w:r w:rsidR="00B51BC9">
        <w:rPr>
          <w:rFonts w:ascii="Times New Roman" w:hAnsi="Times New Roman" w:cs="Times New Roman"/>
          <w:sz w:val="24"/>
          <w:szCs w:val="24"/>
        </w:rPr>
        <w:t>N</w:t>
      </w:r>
      <w:r w:rsidRPr="00BB4EA3" w:rsidR="00B2182F">
        <w:rPr>
          <w:rFonts w:ascii="Times New Roman" w:hAnsi="Times New Roman" w:cs="Times New Roman"/>
          <w:sz w:val="24"/>
          <w:szCs w:val="24"/>
        </w:rPr>
        <w:t xml:space="preserve">ávrh zákona </w:t>
      </w:r>
      <w:r w:rsidRPr="00BB4EA3" w:rsidR="00C46F29">
        <w:rPr>
          <w:rFonts w:ascii="Times New Roman" w:hAnsi="Times New Roman" w:cs="Times New Roman"/>
          <w:sz w:val="24"/>
          <w:szCs w:val="24"/>
        </w:rPr>
        <w:t xml:space="preserve">byl dne 10. </w:t>
      </w:r>
      <w:r w:rsidR="00B51BC9">
        <w:rPr>
          <w:rFonts w:ascii="Times New Roman" w:hAnsi="Times New Roman" w:cs="Times New Roman"/>
          <w:sz w:val="24"/>
          <w:szCs w:val="24"/>
        </w:rPr>
        <w:t>6.</w:t>
      </w:r>
      <w:r w:rsidRPr="00BB4EA3" w:rsidR="00C46F29">
        <w:rPr>
          <w:rFonts w:ascii="Times New Roman" w:hAnsi="Times New Roman" w:cs="Times New Roman"/>
          <w:sz w:val="24"/>
          <w:szCs w:val="24"/>
        </w:rPr>
        <w:t xml:space="preserve"> 2020 </w:t>
      </w:r>
      <w:r>
        <w:fldChar w:fldCharType="begin"/>
      </w:r>
      <w:r>
        <w:instrText xml:space="preserve"> HYPERLINK "https://www.mfcr.cz/cs/soukromy-sektor/kapitalovy-trh/podnikani-na-kapitalovem-trhu/2020/navrh-zakona-kterym-se-meni-nektere-zako-38682" </w:instrText>
      </w:r>
      <w:r>
        <w:fldChar w:fldCharType="separate"/>
      </w:r>
      <w:r w:rsidRPr="00BB4EA3" w:rsidR="00C46F29">
        <w:rPr>
          <w:rStyle w:val="Hyperlink"/>
          <w:rFonts w:ascii="Times New Roman" w:hAnsi="Times New Roman" w:cs="Times New Roman"/>
          <w:sz w:val="24"/>
          <w:szCs w:val="24"/>
        </w:rPr>
        <w:t>předložen do vlády</w:t>
      </w:r>
      <w:r>
        <w:fldChar w:fldCharType="end"/>
      </w:r>
      <w:r w:rsidRPr="007471AF" w:rsidR="00542734">
        <w:rPr>
          <w:rStyle w:val="Hyperlink"/>
          <w:rFonts w:ascii="Times New Roman" w:hAnsi="Times New Roman" w:cs="Times New Roman"/>
          <w:color w:val="auto"/>
          <w:sz w:val="24"/>
          <w:szCs w:val="24"/>
          <w:u w:val="none"/>
          <w:vertAlign w:val="superscript"/>
        </w:rPr>
        <w:t>20)</w:t>
      </w:r>
      <w:r w:rsidRPr="00BB4EA3" w:rsidR="00C46F29">
        <w:rPr>
          <w:rFonts w:ascii="Times New Roman" w:hAnsi="Times New Roman" w:cs="Times New Roman"/>
          <w:sz w:val="24"/>
          <w:szCs w:val="24"/>
        </w:rPr>
        <w:t xml:space="preserve"> a vlád</w:t>
      </w:r>
      <w:r w:rsidR="00B51BC9">
        <w:rPr>
          <w:rFonts w:ascii="Times New Roman" w:hAnsi="Times New Roman" w:cs="Times New Roman"/>
          <w:sz w:val="24"/>
          <w:szCs w:val="24"/>
        </w:rPr>
        <w:t>a</w:t>
      </w:r>
      <w:r w:rsidRPr="00BB4EA3" w:rsidR="00C46F29">
        <w:rPr>
          <w:rFonts w:ascii="Times New Roman" w:hAnsi="Times New Roman" w:cs="Times New Roman"/>
          <w:sz w:val="24"/>
          <w:szCs w:val="24"/>
        </w:rPr>
        <w:t xml:space="preserve"> jej </w:t>
      </w:r>
      <w:r w:rsidRPr="00BB4EA3" w:rsidR="00B2182F">
        <w:rPr>
          <w:rFonts w:ascii="Times New Roman" w:hAnsi="Times New Roman" w:cs="Times New Roman"/>
          <w:sz w:val="24"/>
          <w:szCs w:val="24"/>
        </w:rPr>
        <w:t>schváli</w:t>
      </w:r>
      <w:r w:rsidRPr="00BB4EA3" w:rsidR="008A414C">
        <w:rPr>
          <w:rFonts w:ascii="Times New Roman" w:hAnsi="Times New Roman" w:cs="Times New Roman"/>
          <w:sz w:val="24"/>
          <w:szCs w:val="24"/>
        </w:rPr>
        <w:t xml:space="preserve">la dne 24. </w:t>
      </w:r>
      <w:r w:rsidR="00B51BC9">
        <w:rPr>
          <w:rFonts w:ascii="Times New Roman" w:hAnsi="Times New Roman" w:cs="Times New Roman"/>
          <w:sz w:val="24"/>
          <w:szCs w:val="24"/>
        </w:rPr>
        <w:t>8.</w:t>
      </w:r>
      <w:r w:rsidRPr="00BB4EA3" w:rsidR="008A414C">
        <w:rPr>
          <w:rFonts w:ascii="Times New Roman" w:hAnsi="Times New Roman" w:cs="Times New Roman"/>
          <w:sz w:val="24"/>
          <w:szCs w:val="24"/>
        </w:rPr>
        <w:t xml:space="preserve"> 2020. </w:t>
      </w:r>
      <w:r w:rsidRPr="00BB4EA3" w:rsidR="00A3281C">
        <w:rPr>
          <w:rFonts w:ascii="Times New Roman" w:hAnsi="Times New Roman" w:cs="Times New Roman"/>
          <w:sz w:val="24"/>
          <w:szCs w:val="24"/>
        </w:rPr>
        <w:t xml:space="preserve">V návaznosti na to upořádalo MF </w:t>
      </w:r>
      <w:r>
        <w:fldChar w:fldCharType="begin"/>
      </w:r>
      <w:r>
        <w:instrText xml:space="preserve"> HYPERLINK "https://www.mfcr.cz/cs/o-ministerstvu/vzdelavani/konference-a-seminare/2020/mf-usporadalo-workshop-k-rozvoji-kapital-39309" </w:instrText>
      </w:r>
      <w:r>
        <w:fldChar w:fldCharType="separate"/>
      </w:r>
      <w:r w:rsidRPr="00BB4EA3" w:rsidR="00A3281C">
        <w:rPr>
          <w:rStyle w:val="Hyperlink"/>
          <w:rFonts w:ascii="Times New Roman" w:hAnsi="Times New Roman" w:cs="Times New Roman"/>
          <w:sz w:val="24"/>
          <w:szCs w:val="24"/>
        </w:rPr>
        <w:t>workshop</w:t>
      </w:r>
      <w:r>
        <w:fldChar w:fldCharType="end"/>
      </w:r>
      <w:r w:rsidRPr="007471AF" w:rsidR="00542734">
        <w:rPr>
          <w:rStyle w:val="Hyperlink"/>
          <w:rFonts w:ascii="Times New Roman" w:hAnsi="Times New Roman" w:cs="Times New Roman"/>
          <w:color w:val="auto"/>
          <w:sz w:val="24"/>
          <w:szCs w:val="24"/>
          <w:u w:val="none"/>
          <w:vertAlign w:val="superscript"/>
        </w:rPr>
        <w:t>21)</w:t>
      </w:r>
      <w:r w:rsidRPr="00BB4EA3" w:rsidR="00A3281C">
        <w:rPr>
          <w:rFonts w:ascii="Times New Roman" w:hAnsi="Times New Roman" w:cs="Times New Roman"/>
          <w:sz w:val="24"/>
          <w:szCs w:val="24"/>
        </w:rPr>
        <w:t xml:space="preserve"> k</w:t>
      </w:r>
      <w:r w:rsidR="00B51BC9">
        <w:rPr>
          <w:rFonts w:ascii="Times New Roman" w:hAnsi="Times New Roman" w:cs="Times New Roman"/>
          <w:sz w:val="24"/>
          <w:szCs w:val="24"/>
        </w:rPr>
        <w:t> </w:t>
      </w:r>
      <w:r w:rsidRPr="00BB4EA3" w:rsidR="00A3281C">
        <w:rPr>
          <w:rFonts w:ascii="Times New Roman" w:hAnsi="Times New Roman" w:cs="Times New Roman"/>
          <w:sz w:val="24"/>
          <w:szCs w:val="24"/>
        </w:rPr>
        <w:t>rozvoji kapitálového trhu, kterého se zúčastnilo okolo 50 účastníků a v panelu vystoupili ministryně financí Alena Schillerová</w:t>
      </w:r>
      <w:r w:rsidR="00B51BC9">
        <w:rPr>
          <w:rFonts w:ascii="Times New Roman" w:hAnsi="Times New Roman" w:cs="Times New Roman"/>
          <w:sz w:val="24"/>
          <w:szCs w:val="24"/>
        </w:rPr>
        <w:t xml:space="preserve">, </w:t>
      </w:r>
      <w:r w:rsidRPr="00BB4EA3" w:rsidR="00A3281C">
        <w:rPr>
          <w:rFonts w:ascii="Times New Roman" w:hAnsi="Times New Roman" w:cs="Times New Roman"/>
          <w:sz w:val="24"/>
          <w:szCs w:val="24"/>
        </w:rPr>
        <w:t xml:space="preserve">generální ředitel Burzy cenných papírů a prezident Evropské federace burz (FESE) Petr </w:t>
      </w:r>
      <w:r w:rsidRPr="00BB4EA3" w:rsidR="00A3281C">
        <w:rPr>
          <w:rFonts w:ascii="Times New Roman" w:hAnsi="Times New Roman" w:cs="Times New Roman"/>
          <w:sz w:val="24"/>
          <w:szCs w:val="24"/>
        </w:rPr>
        <w:t>Koblic</w:t>
      </w:r>
      <w:r w:rsidR="00B51BC9">
        <w:rPr>
          <w:rFonts w:ascii="Times New Roman" w:hAnsi="Times New Roman" w:cs="Times New Roman"/>
          <w:sz w:val="24"/>
          <w:szCs w:val="24"/>
        </w:rPr>
        <w:t xml:space="preserve"> a další zástupci Ministerstva financí i soukromého </w:t>
      </w:r>
      <w:r w:rsidR="00B51BC9">
        <w:rPr>
          <w:rFonts w:ascii="Times New Roman" w:hAnsi="Times New Roman" w:cs="Times New Roman"/>
          <w:sz w:val="24"/>
          <w:szCs w:val="24"/>
        </w:rPr>
        <w:t xml:space="preserve">sektoru. </w:t>
      </w:r>
      <w:r w:rsidRPr="00BB4EA3" w:rsidR="00A3281C">
        <w:rPr>
          <w:rFonts w:ascii="Times New Roman" w:hAnsi="Times New Roman" w:cs="Times New Roman"/>
          <w:sz w:val="24"/>
          <w:szCs w:val="24"/>
        </w:rPr>
        <w:t>N</w:t>
      </w:r>
      <w:r w:rsidRPr="00BB4EA3" w:rsidR="008A414C">
        <w:rPr>
          <w:rFonts w:ascii="Times New Roman" w:hAnsi="Times New Roman" w:cs="Times New Roman"/>
          <w:sz w:val="24"/>
          <w:szCs w:val="24"/>
        </w:rPr>
        <w:t xml:space="preserve">ávrh zákona </w:t>
      </w:r>
      <w:r w:rsidRPr="00BB4EA3" w:rsidR="00B2182F">
        <w:rPr>
          <w:rFonts w:ascii="Times New Roman" w:hAnsi="Times New Roman" w:cs="Times New Roman"/>
          <w:sz w:val="24"/>
          <w:szCs w:val="24"/>
        </w:rPr>
        <w:t xml:space="preserve">byl </w:t>
      </w:r>
      <w:r w:rsidRPr="00BB4EA3" w:rsidR="00F153D3">
        <w:rPr>
          <w:rFonts w:ascii="Times New Roman" w:hAnsi="Times New Roman" w:cs="Times New Roman"/>
          <w:sz w:val="24"/>
          <w:szCs w:val="24"/>
        </w:rPr>
        <w:t xml:space="preserve">dne 2. </w:t>
      </w:r>
      <w:r w:rsidR="00B51BC9">
        <w:rPr>
          <w:rFonts w:ascii="Times New Roman" w:hAnsi="Times New Roman" w:cs="Times New Roman"/>
          <w:sz w:val="24"/>
          <w:szCs w:val="24"/>
        </w:rPr>
        <w:t xml:space="preserve">9. </w:t>
      </w:r>
      <w:r w:rsidRPr="00BB4EA3" w:rsidR="00F153D3">
        <w:rPr>
          <w:rFonts w:ascii="Times New Roman" w:hAnsi="Times New Roman" w:cs="Times New Roman"/>
          <w:sz w:val="24"/>
          <w:szCs w:val="24"/>
        </w:rPr>
        <w:t xml:space="preserve">2020 </w:t>
      </w:r>
      <w:r>
        <w:fldChar w:fldCharType="begin"/>
      </w:r>
      <w:r>
        <w:instrText xml:space="preserve"> HYPERLINK "https://www.mfcr.cz/cs/soukromy-sektor/kapitalovy-trh/podnikani-na-kapitalovem-trhu/2020/novela-zakonu-v-souvislosti-s-rozvojem-k-39356" </w:instrText>
      </w:r>
      <w:r>
        <w:fldChar w:fldCharType="separate"/>
      </w:r>
      <w:r w:rsidRPr="00BB4EA3" w:rsidR="00B2182F">
        <w:rPr>
          <w:rStyle w:val="Hyperlink"/>
          <w:rFonts w:ascii="Times New Roman" w:hAnsi="Times New Roman" w:cs="Times New Roman"/>
          <w:sz w:val="24"/>
          <w:szCs w:val="24"/>
        </w:rPr>
        <w:t xml:space="preserve">předložen </w:t>
      </w:r>
      <w:r w:rsidRPr="00BB4EA3" w:rsidR="00F153D3">
        <w:rPr>
          <w:rStyle w:val="Hyperlink"/>
          <w:rFonts w:ascii="Times New Roman" w:hAnsi="Times New Roman" w:cs="Times New Roman"/>
          <w:sz w:val="24"/>
          <w:szCs w:val="24"/>
        </w:rPr>
        <w:t>do Poslanecké sněmovny</w:t>
      </w:r>
      <w:r>
        <w:fldChar w:fldCharType="end"/>
      </w:r>
      <w:r w:rsidRPr="007471AF" w:rsidR="00542734">
        <w:rPr>
          <w:rStyle w:val="Hyperlink"/>
          <w:rFonts w:ascii="Times New Roman" w:hAnsi="Times New Roman" w:cs="Times New Roman"/>
          <w:color w:val="auto"/>
          <w:sz w:val="24"/>
          <w:szCs w:val="24"/>
          <w:u w:val="none"/>
          <w:vertAlign w:val="superscript"/>
        </w:rPr>
        <w:t>22)</w:t>
      </w:r>
      <w:r w:rsidRPr="00BB4EA3" w:rsidR="00F153D3">
        <w:rPr>
          <w:rFonts w:ascii="Times New Roman" w:hAnsi="Times New Roman" w:cs="Times New Roman"/>
          <w:sz w:val="24"/>
          <w:szCs w:val="24"/>
        </w:rPr>
        <w:t xml:space="preserve"> Parlamentu ČR</w:t>
      </w:r>
      <w:r w:rsidR="00B51BC9">
        <w:rPr>
          <w:rFonts w:ascii="Times New Roman" w:hAnsi="Times New Roman" w:cs="Times New Roman"/>
          <w:sz w:val="24"/>
          <w:szCs w:val="24"/>
        </w:rPr>
        <w:t xml:space="preserve"> (s</w:t>
      </w:r>
      <w:r w:rsidRPr="00BB4EA3" w:rsidR="00F153D3">
        <w:rPr>
          <w:rFonts w:ascii="Times New Roman" w:hAnsi="Times New Roman" w:cs="Times New Roman"/>
          <w:sz w:val="24"/>
          <w:szCs w:val="24"/>
        </w:rPr>
        <w:t>němovní tisk 993</w:t>
      </w:r>
      <w:r w:rsidR="00B51BC9">
        <w:rPr>
          <w:rFonts w:ascii="Times New Roman" w:hAnsi="Times New Roman" w:cs="Times New Roman"/>
          <w:sz w:val="24"/>
          <w:szCs w:val="24"/>
        </w:rPr>
        <w:t>)</w:t>
      </w:r>
      <w:r w:rsidRPr="00BB4EA3" w:rsidR="00F153D3">
        <w:rPr>
          <w:rFonts w:ascii="Times New Roman" w:hAnsi="Times New Roman" w:cs="Times New Roman"/>
          <w:sz w:val="24"/>
          <w:szCs w:val="24"/>
        </w:rPr>
        <w:t>. První čtení to</w:t>
      </w:r>
      <w:r w:rsidR="00B51BC9">
        <w:rPr>
          <w:rFonts w:ascii="Times New Roman" w:hAnsi="Times New Roman" w:cs="Times New Roman"/>
          <w:sz w:val="24"/>
          <w:szCs w:val="24"/>
        </w:rPr>
        <w:t xml:space="preserve">hoto </w:t>
      </w:r>
      <w:r w:rsidRPr="00BB4EA3" w:rsidR="00F153D3">
        <w:rPr>
          <w:rFonts w:ascii="Times New Roman" w:hAnsi="Times New Roman" w:cs="Times New Roman"/>
          <w:sz w:val="24"/>
          <w:szCs w:val="24"/>
        </w:rPr>
        <w:t>návrhu zákona zatím neproběhlo.</w:t>
      </w:r>
    </w:p>
    <w:p w:rsidR="00481CD1"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S rozvojem kapitálového trhu v ČR souvisí i právní předpisy E</w:t>
      </w:r>
      <w:r w:rsidR="00ED0B88">
        <w:rPr>
          <w:rFonts w:ascii="Times New Roman" w:hAnsi="Times New Roman" w:cs="Times New Roman"/>
          <w:sz w:val="24"/>
          <w:szCs w:val="24"/>
        </w:rPr>
        <w:t>U</w:t>
      </w:r>
      <w:r w:rsidRPr="00BB4EA3">
        <w:rPr>
          <w:rFonts w:ascii="Times New Roman" w:hAnsi="Times New Roman" w:cs="Times New Roman"/>
          <w:sz w:val="24"/>
          <w:szCs w:val="24"/>
        </w:rPr>
        <w:t xml:space="preserve">. </w:t>
      </w:r>
      <w:r w:rsidRPr="00BB4EA3">
        <w:rPr>
          <w:rFonts w:ascii="Times New Roman" w:hAnsi="Times New Roman" w:cs="Times New Roman"/>
          <w:sz w:val="24"/>
          <w:szCs w:val="24"/>
        </w:rPr>
        <w:t xml:space="preserve">Mezi 5. a 18. </w:t>
      </w:r>
      <w:r w:rsidR="00ED0B88">
        <w:rPr>
          <w:rFonts w:ascii="Times New Roman" w:hAnsi="Times New Roman" w:cs="Times New Roman"/>
          <w:sz w:val="24"/>
          <w:szCs w:val="24"/>
        </w:rPr>
        <w:t xml:space="preserve">12. </w:t>
      </w:r>
      <w:r w:rsidRPr="00BB4EA3">
        <w:rPr>
          <w:rFonts w:ascii="Times New Roman" w:hAnsi="Times New Roman" w:cs="Times New Roman"/>
          <w:sz w:val="24"/>
          <w:szCs w:val="24"/>
        </w:rPr>
        <w:t xml:space="preserve">2019 byly v Úředním věstníku </w:t>
      </w:r>
      <w:r w:rsidRPr="00BB4EA3">
        <w:rPr>
          <w:rFonts w:ascii="Times New Roman" w:hAnsi="Times New Roman" w:cs="Times New Roman"/>
          <w:sz w:val="24"/>
          <w:szCs w:val="24"/>
        </w:rPr>
        <w:t xml:space="preserve">EU </w:t>
      </w:r>
      <w:r w:rsidRPr="00BB4EA3">
        <w:rPr>
          <w:rFonts w:ascii="Times New Roman" w:hAnsi="Times New Roman" w:cs="Times New Roman"/>
          <w:sz w:val="24"/>
          <w:szCs w:val="24"/>
        </w:rPr>
        <w:t xml:space="preserve">publikovány právní předpisy související s projektem </w:t>
      </w:r>
      <w:r>
        <w:fldChar w:fldCharType="begin"/>
      </w:r>
      <w:r>
        <w:instrText xml:space="preserve"> HYPERLINK "https://www.mfcr.cz/cs/soukromy-sektor/kapitalovy-trh/podnikani-na-kapitalovem-trhu/2019/evropske-pravni-predpisy-souvisejici-s-p-36929" </w:instrText>
      </w:r>
      <w:r>
        <w:fldChar w:fldCharType="separate"/>
      </w:r>
      <w:r w:rsidRPr="00BB4EA3">
        <w:rPr>
          <w:rStyle w:val="Hyperlink"/>
          <w:rFonts w:ascii="Times New Roman" w:hAnsi="Times New Roman" w:cs="Times New Roman"/>
          <w:sz w:val="24"/>
          <w:szCs w:val="24"/>
        </w:rPr>
        <w:t>unie kapitálových trhů</w:t>
      </w:r>
      <w:r>
        <w:fldChar w:fldCharType="end"/>
      </w:r>
      <w:r w:rsidRPr="007471AF" w:rsidR="00542734">
        <w:rPr>
          <w:rStyle w:val="Hyperlink"/>
          <w:rFonts w:ascii="Times New Roman" w:hAnsi="Times New Roman" w:cs="Times New Roman"/>
          <w:color w:val="auto"/>
          <w:sz w:val="24"/>
          <w:szCs w:val="24"/>
          <w:u w:val="none"/>
          <w:vertAlign w:val="superscript"/>
        </w:rPr>
        <w:t>23)</w:t>
      </w:r>
      <w:r w:rsidRPr="00BB4EA3">
        <w:rPr>
          <w:rFonts w:ascii="Times New Roman" w:hAnsi="Times New Roman" w:cs="Times New Roman"/>
          <w:sz w:val="24"/>
          <w:szCs w:val="24"/>
        </w:rPr>
        <w:t xml:space="preserve"> (</w:t>
      </w:r>
      <w:r w:rsidRPr="00BB4EA3">
        <w:rPr>
          <w:rFonts w:ascii="Times New Roman" w:hAnsi="Times New Roman" w:cs="Times New Roman"/>
          <w:sz w:val="24"/>
          <w:szCs w:val="24"/>
        </w:rPr>
        <w:t>Capital</w:t>
      </w:r>
      <w:r w:rsidRPr="00BB4EA3">
        <w:rPr>
          <w:rFonts w:ascii="Times New Roman" w:hAnsi="Times New Roman" w:cs="Times New Roman"/>
          <w:sz w:val="24"/>
          <w:szCs w:val="24"/>
        </w:rPr>
        <w:t xml:space="preserve"> </w:t>
      </w:r>
      <w:r w:rsidRPr="00BB4EA3">
        <w:rPr>
          <w:rFonts w:ascii="Times New Roman" w:hAnsi="Times New Roman" w:cs="Times New Roman"/>
          <w:sz w:val="24"/>
          <w:szCs w:val="24"/>
        </w:rPr>
        <w:t>Markets</w:t>
      </w:r>
      <w:r w:rsidRPr="00BB4EA3">
        <w:rPr>
          <w:rFonts w:ascii="Times New Roman" w:hAnsi="Times New Roman" w:cs="Times New Roman"/>
          <w:sz w:val="24"/>
          <w:szCs w:val="24"/>
        </w:rPr>
        <w:t xml:space="preserve"> Union, CMU). Tyto právní předpisy se týkají revize kapitálových požadavků obchodníků s cennými papíry, právní úpravy udržitelného financování </w:t>
      </w:r>
      <w:r w:rsidR="00506885">
        <w:rPr>
          <w:rFonts w:ascii="Times New Roman" w:hAnsi="Times New Roman" w:cs="Times New Roman"/>
          <w:sz w:val="24"/>
          <w:szCs w:val="24"/>
        </w:rPr>
        <w:t xml:space="preserve">či služeb skupinového financování, </w:t>
      </w:r>
      <w:r w:rsidRPr="00BB4EA3">
        <w:rPr>
          <w:rFonts w:ascii="Times New Roman" w:hAnsi="Times New Roman" w:cs="Times New Roman"/>
          <w:sz w:val="24"/>
          <w:szCs w:val="24"/>
        </w:rPr>
        <w:t xml:space="preserve">podpory růstu trhu malých a středních podniků a harmonizace krytých dluhopisů. </w:t>
      </w:r>
      <w:r w:rsidRPr="00BB4EA3">
        <w:rPr>
          <w:rFonts w:ascii="Times New Roman" w:hAnsi="Times New Roman" w:cs="Times New Roman"/>
          <w:sz w:val="24"/>
          <w:szCs w:val="24"/>
        </w:rPr>
        <w:t xml:space="preserve">Dne 28. </w:t>
      </w:r>
      <w:r w:rsidR="00ED0B88">
        <w:rPr>
          <w:rFonts w:ascii="Times New Roman" w:hAnsi="Times New Roman" w:cs="Times New Roman"/>
          <w:sz w:val="24"/>
          <w:szCs w:val="24"/>
        </w:rPr>
        <w:t xml:space="preserve">1. </w:t>
      </w:r>
      <w:r w:rsidRPr="00BB4EA3">
        <w:rPr>
          <w:rFonts w:ascii="Times New Roman" w:hAnsi="Times New Roman" w:cs="Times New Roman"/>
          <w:sz w:val="24"/>
          <w:szCs w:val="24"/>
        </w:rPr>
        <w:t xml:space="preserve">2020 publikovalo MF </w:t>
      </w:r>
      <w:r>
        <w:fldChar w:fldCharType="begin"/>
      </w:r>
      <w:r>
        <w:instrText xml:space="preserve"> HYPERLINK "https://www.mfcr.cz/cs/soukromy-sektor/kapitalovy-trh/podnikani-na-kapitalovem-trhu/2020/verejna-konzultace-k-moznostem-narodni-u-37285" </w:instrText>
      </w:r>
      <w:r>
        <w:fldChar w:fldCharType="separate"/>
      </w:r>
      <w:r w:rsidRPr="00BB4EA3">
        <w:rPr>
          <w:rStyle w:val="Hyperlink"/>
          <w:rFonts w:ascii="Times New Roman" w:hAnsi="Times New Roman" w:cs="Times New Roman"/>
          <w:sz w:val="24"/>
          <w:szCs w:val="24"/>
        </w:rPr>
        <w:t>veřejnou konzultaci k možnostem národní úpravy</w:t>
      </w:r>
      <w:r>
        <w:fldChar w:fldCharType="end"/>
      </w:r>
      <w:r w:rsidRPr="007471AF" w:rsidR="00542734">
        <w:rPr>
          <w:rStyle w:val="Hyperlink"/>
          <w:rFonts w:ascii="Times New Roman" w:hAnsi="Times New Roman" w:cs="Times New Roman"/>
          <w:color w:val="auto"/>
          <w:sz w:val="24"/>
          <w:szCs w:val="24"/>
          <w:u w:val="none"/>
          <w:vertAlign w:val="superscript"/>
        </w:rPr>
        <w:t>24)</w:t>
      </w:r>
      <w:r w:rsidRPr="00BB4EA3">
        <w:rPr>
          <w:rFonts w:ascii="Times New Roman" w:hAnsi="Times New Roman" w:cs="Times New Roman"/>
          <w:sz w:val="24"/>
          <w:szCs w:val="24"/>
        </w:rPr>
        <w:t xml:space="preserve"> obsaženým v těchto právních předpisech EU. </w:t>
      </w:r>
      <w:r w:rsidRPr="00BB4EA3" w:rsidR="002971E1">
        <w:rPr>
          <w:rFonts w:ascii="Times New Roman" w:hAnsi="Times New Roman" w:cs="Times New Roman"/>
          <w:sz w:val="24"/>
          <w:szCs w:val="24"/>
        </w:rPr>
        <w:t>Na tyto právní předpisy EU reaguje návrh zákona</w:t>
      </w:r>
      <w:r w:rsidRPr="00BB4EA3">
        <w:rPr>
          <w:rFonts w:ascii="Times New Roman" w:hAnsi="Times New Roman" w:cs="Times New Roman"/>
          <w:sz w:val="24"/>
          <w:szCs w:val="24"/>
        </w:rPr>
        <w:t>,</w:t>
      </w:r>
      <w:r w:rsidRPr="00BB4EA3" w:rsidR="002971E1">
        <w:rPr>
          <w:rFonts w:ascii="Times New Roman" w:hAnsi="Times New Roman" w:cs="Times New Roman"/>
          <w:sz w:val="24"/>
          <w:szCs w:val="24"/>
        </w:rPr>
        <w:t xml:space="preserve"> </w:t>
      </w:r>
      <w:r w:rsidRPr="00BB4EA3">
        <w:rPr>
          <w:rFonts w:ascii="Times New Roman" w:hAnsi="Times New Roman" w:cs="Times New Roman"/>
          <w:sz w:val="24"/>
          <w:szCs w:val="24"/>
        </w:rPr>
        <w:t>kterým se mění některé zákony v souvislosti s implementací právních předpisů Evropské unie týkajících se unie kapitálových trhů, který byl dne</w:t>
      </w:r>
      <w:r w:rsidRPr="00BB4EA3" w:rsidR="007B6673">
        <w:rPr>
          <w:rFonts w:ascii="Times New Roman" w:hAnsi="Times New Roman" w:cs="Times New Roman"/>
          <w:sz w:val="24"/>
          <w:szCs w:val="24"/>
        </w:rPr>
        <w:t xml:space="preserve"> 8. </w:t>
      </w:r>
      <w:r w:rsidR="00ED0B88">
        <w:rPr>
          <w:rFonts w:ascii="Times New Roman" w:hAnsi="Times New Roman" w:cs="Times New Roman"/>
          <w:sz w:val="24"/>
          <w:szCs w:val="24"/>
        </w:rPr>
        <w:t xml:space="preserve">7. </w:t>
      </w:r>
      <w:r w:rsidRPr="00BB4EA3" w:rsidR="007B6673">
        <w:rPr>
          <w:rFonts w:ascii="Times New Roman" w:hAnsi="Times New Roman" w:cs="Times New Roman"/>
          <w:sz w:val="24"/>
          <w:szCs w:val="24"/>
        </w:rPr>
        <w:t xml:space="preserve">2020 </w:t>
      </w:r>
      <w:r>
        <w:fldChar w:fldCharType="begin"/>
      </w:r>
      <w:r>
        <w:instrText xml:space="preserve"> HYPERLINK "https://www.mfcr.cz/cs/soukromy-sektor/kapitalovy-trh/podnikani-na-kapitalovem-trhu/2020/zahajeni-meziresortniho-pripominkoveho-r-38949" </w:instrText>
      </w:r>
      <w:r>
        <w:fldChar w:fldCharType="separate"/>
      </w:r>
      <w:r w:rsidRPr="00BB4EA3" w:rsidR="007B6673">
        <w:rPr>
          <w:rStyle w:val="Hyperlink"/>
          <w:rFonts w:ascii="Times New Roman" w:hAnsi="Times New Roman" w:cs="Times New Roman"/>
          <w:sz w:val="24"/>
          <w:szCs w:val="24"/>
        </w:rPr>
        <w:t>rozeslán do meziresortního připomínkového řízení</w:t>
      </w:r>
      <w:r>
        <w:fldChar w:fldCharType="end"/>
      </w:r>
      <w:r w:rsidRPr="007471AF" w:rsidR="00542734">
        <w:rPr>
          <w:rStyle w:val="Hyperlink"/>
          <w:rFonts w:ascii="Times New Roman" w:hAnsi="Times New Roman" w:cs="Times New Roman"/>
          <w:color w:val="auto"/>
          <w:sz w:val="24"/>
          <w:szCs w:val="24"/>
          <w:u w:val="none"/>
          <w:vertAlign w:val="superscript"/>
        </w:rPr>
        <w:t>25)</w:t>
      </w:r>
      <w:r w:rsidRPr="00BB4EA3" w:rsidR="007B6673">
        <w:rPr>
          <w:rFonts w:ascii="Times New Roman" w:hAnsi="Times New Roman" w:cs="Times New Roman"/>
          <w:sz w:val="24"/>
          <w:szCs w:val="24"/>
        </w:rPr>
        <w:t xml:space="preserve"> a současně uveřejněn k veřejné konzultaci. Dne</w:t>
      </w:r>
      <w:r w:rsidRPr="00BB4EA3">
        <w:rPr>
          <w:rFonts w:ascii="Times New Roman" w:hAnsi="Times New Roman" w:cs="Times New Roman"/>
          <w:sz w:val="24"/>
          <w:szCs w:val="24"/>
        </w:rPr>
        <w:t xml:space="preserve"> 5.</w:t>
      </w:r>
      <w:r w:rsidR="001C2CD4">
        <w:rPr>
          <w:rFonts w:ascii="Times New Roman" w:hAnsi="Times New Roman" w:cs="Times New Roman"/>
          <w:sz w:val="24"/>
          <w:szCs w:val="24"/>
        </w:rPr>
        <w:t> </w:t>
      </w:r>
      <w:r w:rsidR="00ED0B88">
        <w:rPr>
          <w:rFonts w:ascii="Times New Roman" w:hAnsi="Times New Roman" w:cs="Times New Roman"/>
          <w:sz w:val="24"/>
          <w:szCs w:val="24"/>
        </w:rPr>
        <w:t xml:space="preserve">10. </w:t>
      </w:r>
      <w:r w:rsidRPr="00BB4EA3">
        <w:rPr>
          <w:rFonts w:ascii="Times New Roman" w:hAnsi="Times New Roman" w:cs="Times New Roman"/>
          <w:sz w:val="24"/>
          <w:szCs w:val="24"/>
        </w:rPr>
        <w:t xml:space="preserve">2020 </w:t>
      </w:r>
      <w:r w:rsidRPr="00BB4EA3" w:rsidR="007B6673">
        <w:rPr>
          <w:rFonts w:ascii="Times New Roman" w:hAnsi="Times New Roman" w:cs="Times New Roman"/>
          <w:sz w:val="24"/>
          <w:szCs w:val="24"/>
        </w:rPr>
        <w:t xml:space="preserve">byl tento návrh zákona </w:t>
      </w:r>
      <w:r>
        <w:fldChar w:fldCharType="begin"/>
      </w:r>
      <w:r>
        <w:instrText xml:space="preserve"> HYPERLINK "https://www.mfcr.cz/cs/soukromy-sektor/kapitalovy-trh/podnikani-na-kapitalovem-trhu/2020/navrh-zakona-kterym-se-meni-nektere-zako-39647" </w:instrText>
      </w:r>
      <w:r>
        <w:fldChar w:fldCharType="separate"/>
      </w:r>
      <w:r w:rsidRPr="00BB4EA3">
        <w:rPr>
          <w:rStyle w:val="Hyperlink"/>
          <w:rFonts w:ascii="Times New Roman" w:hAnsi="Times New Roman" w:cs="Times New Roman"/>
          <w:sz w:val="24"/>
          <w:szCs w:val="24"/>
        </w:rPr>
        <w:t>předložen do vlády</w:t>
      </w:r>
      <w:r>
        <w:fldChar w:fldCharType="end"/>
      </w:r>
      <w:r w:rsidRPr="007471AF" w:rsidR="00542734">
        <w:rPr>
          <w:rStyle w:val="Hyperlink"/>
          <w:rFonts w:ascii="Times New Roman" w:hAnsi="Times New Roman" w:cs="Times New Roman"/>
          <w:color w:val="auto"/>
          <w:sz w:val="24"/>
          <w:szCs w:val="24"/>
          <w:u w:val="none"/>
          <w:vertAlign w:val="superscript"/>
        </w:rPr>
        <w:t>26)</w:t>
      </w:r>
      <w:r w:rsidRPr="00BB4EA3" w:rsidR="007B6673">
        <w:rPr>
          <w:rFonts w:ascii="Times New Roman" w:hAnsi="Times New Roman" w:cs="Times New Roman"/>
          <w:sz w:val="24"/>
          <w:szCs w:val="24"/>
        </w:rPr>
        <w:t xml:space="preserve"> a dne 26. </w:t>
      </w:r>
      <w:r w:rsidR="00ED0B88">
        <w:rPr>
          <w:rFonts w:ascii="Times New Roman" w:hAnsi="Times New Roman" w:cs="Times New Roman"/>
          <w:sz w:val="24"/>
          <w:szCs w:val="24"/>
        </w:rPr>
        <w:t xml:space="preserve">11. </w:t>
      </w:r>
      <w:r w:rsidRPr="00BB4EA3" w:rsidR="007B6673">
        <w:rPr>
          <w:rFonts w:ascii="Times New Roman" w:hAnsi="Times New Roman" w:cs="Times New Roman"/>
          <w:sz w:val="24"/>
          <w:szCs w:val="24"/>
        </w:rPr>
        <w:t>2020 jej projednal</w:t>
      </w:r>
      <w:r w:rsidR="00ED0B88">
        <w:rPr>
          <w:rFonts w:ascii="Times New Roman" w:hAnsi="Times New Roman" w:cs="Times New Roman"/>
          <w:sz w:val="24"/>
          <w:szCs w:val="24"/>
        </w:rPr>
        <w:t>a</w:t>
      </w:r>
      <w:r w:rsidRPr="00BB4EA3" w:rsidR="007B6673">
        <w:rPr>
          <w:rFonts w:ascii="Times New Roman" w:hAnsi="Times New Roman" w:cs="Times New Roman"/>
          <w:sz w:val="24"/>
          <w:szCs w:val="24"/>
        </w:rPr>
        <w:t xml:space="preserve"> Legislativní rad</w:t>
      </w:r>
      <w:r w:rsidR="00ED0B88">
        <w:rPr>
          <w:rFonts w:ascii="Times New Roman" w:hAnsi="Times New Roman" w:cs="Times New Roman"/>
          <w:sz w:val="24"/>
          <w:szCs w:val="24"/>
        </w:rPr>
        <w:t>a</w:t>
      </w:r>
      <w:r w:rsidRPr="00BB4EA3" w:rsidR="007B6673">
        <w:rPr>
          <w:rFonts w:ascii="Times New Roman" w:hAnsi="Times New Roman" w:cs="Times New Roman"/>
          <w:sz w:val="24"/>
          <w:szCs w:val="24"/>
        </w:rPr>
        <w:t xml:space="preserve"> vlády</w:t>
      </w:r>
      <w:r w:rsidRPr="00BB4EA3">
        <w:rPr>
          <w:rFonts w:ascii="Times New Roman" w:hAnsi="Times New Roman" w:cs="Times New Roman"/>
          <w:sz w:val="24"/>
          <w:szCs w:val="24"/>
        </w:rPr>
        <w:t>.</w:t>
      </w:r>
    </w:p>
    <w:p w:rsidR="008A414C"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Dne 24. </w:t>
      </w:r>
      <w:r w:rsidR="00ED0B88">
        <w:rPr>
          <w:rFonts w:ascii="Times New Roman" w:hAnsi="Times New Roman" w:cs="Times New Roman"/>
          <w:sz w:val="24"/>
          <w:szCs w:val="24"/>
        </w:rPr>
        <w:t>7.</w:t>
      </w:r>
      <w:r w:rsidRPr="00BB4EA3">
        <w:rPr>
          <w:rFonts w:ascii="Times New Roman" w:hAnsi="Times New Roman" w:cs="Times New Roman"/>
          <w:sz w:val="24"/>
          <w:szCs w:val="24"/>
        </w:rPr>
        <w:t xml:space="preserve"> 2020 uveřejnila Evropská komise </w:t>
      </w:r>
      <w:r>
        <w:fldChar w:fldCharType="begin"/>
      </w:r>
      <w:r>
        <w:instrText xml:space="preserve"> HYPERLINK "https://www.mfcr.cz/cs/soukromy-sektor/kapitalovy-trh/podnikani-na-kapitalovem-trhu/2020/evropska-komise-uverejnila-legislativni-39103" </w:instrText>
      </w:r>
      <w:r>
        <w:fldChar w:fldCharType="separate"/>
      </w:r>
      <w:r w:rsidRPr="00BB4EA3">
        <w:rPr>
          <w:rStyle w:val="Hyperlink"/>
          <w:rFonts w:ascii="Times New Roman" w:hAnsi="Times New Roman" w:cs="Times New Roman"/>
          <w:sz w:val="24"/>
          <w:szCs w:val="24"/>
        </w:rPr>
        <w:t>legislativní návrhy</w:t>
      </w:r>
      <w:r>
        <w:fldChar w:fldCharType="end"/>
      </w:r>
      <w:r w:rsidRPr="007471AF" w:rsidR="00542734">
        <w:rPr>
          <w:rStyle w:val="Hyperlink"/>
          <w:rFonts w:ascii="Times New Roman" w:hAnsi="Times New Roman" w:cs="Times New Roman"/>
          <w:color w:val="auto"/>
          <w:sz w:val="24"/>
          <w:szCs w:val="24"/>
          <w:u w:val="none"/>
          <w:vertAlign w:val="superscript"/>
        </w:rPr>
        <w:t>27)</w:t>
      </w:r>
      <w:r w:rsidRPr="00BB4EA3">
        <w:rPr>
          <w:rFonts w:ascii="Times New Roman" w:hAnsi="Times New Roman" w:cs="Times New Roman"/>
          <w:sz w:val="24"/>
          <w:szCs w:val="24"/>
        </w:rPr>
        <w:t xml:space="preserve"> v oblasti kapitálových trhů reagující na důsledky pandemie COVID-19 a legislativní návrhy týkající se </w:t>
      </w:r>
      <w:r w:rsidRPr="00BB4EA3">
        <w:rPr>
          <w:rFonts w:ascii="Times New Roman" w:hAnsi="Times New Roman" w:cs="Times New Roman"/>
          <w:sz w:val="24"/>
          <w:szCs w:val="24"/>
        </w:rPr>
        <w:t>benchmarků</w:t>
      </w:r>
      <w:r w:rsidRPr="00BB4EA3">
        <w:rPr>
          <w:rFonts w:ascii="Times New Roman" w:hAnsi="Times New Roman" w:cs="Times New Roman"/>
          <w:sz w:val="24"/>
          <w:szCs w:val="24"/>
        </w:rPr>
        <w:t xml:space="preserve">. Konkrétně mělo dojít ke změnám v úpravách </w:t>
      </w:r>
      <w:r w:rsidRPr="00BB4EA3">
        <w:rPr>
          <w:rFonts w:ascii="Times New Roman" w:hAnsi="Times New Roman" w:cs="Times New Roman"/>
          <w:sz w:val="24"/>
          <w:szCs w:val="24"/>
        </w:rPr>
        <w:t>sekuritizace</w:t>
      </w:r>
      <w:r w:rsidRPr="00BB4EA3">
        <w:rPr>
          <w:rFonts w:ascii="Times New Roman" w:hAnsi="Times New Roman" w:cs="Times New Roman"/>
          <w:sz w:val="24"/>
          <w:szCs w:val="24"/>
        </w:rPr>
        <w:t xml:space="preserve">, ochrany investorů a komoditních derivátů. Také se reaguje na plánované ukončením používání </w:t>
      </w:r>
      <w:r w:rsidRPr="00BB4EA3">
        <w:rPr>
          <w:rFonts w:ascii="Times New Roman" w:hAnsi="Times New Roman" w:cs="Times New Roman"/>
          <w:sz w:val="24"/>
          <w:szCs w:val="24"/>
        </w:rPr>
        <w:t>benchmarku</w:t>
      </w:r>
      <w:r w:rsidRPr="00BB4EA3">
        <w:rPr>
          <w:rFonts w:ascii="Times New Roman" w:hAnsi="Times New Roman" w:cs="Times New Roman"/>
          <w:sz w:val="24"/>
          <w:szCs w:val="24"/>
        </w:rPr>
        <w:t xml:space="preserve"> LIBOR ke konci roku 2021.</w:t>
      </w:r>
    </w:p>
    <w:p w:rsidR="00F153D3"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Dne 25. </w:t>
      </w:r>
      <w:r w:rsidR="00ED0B88">
        <w:rPr>
          <w:rFonts w:ascii="Times New Roman" w:hAnsi="Times New Roman" w:cs="Times New Roman"/>
          <w:sz w:val="24"/>
          <w:szCs w:val="24"/>
        </w:rPr>
        <w:t xml:space="preserve">7. </w:t>
      </w:r>
      <w:r w:rsidRPr="00BB4EA3">
        <w:rPr>
          <w:rFonts w:ascii="Times New Roman" w:hAnsi="Times New Roman" w:cs="Times New Roman"/>
          <w:sz w:val="24"/>
          <w:szCs w:val="24"/>
        </w:rPr>
        <w:t xml:space="preserve">2019 bylo v Úředním věstníku EU publikováno nařízení EU o panevropském osobním penzijním produktu (PEPP). Související </w:t>
      </w:r>
      <w:r>
        <w:fldChar w:fldCharType="begin"/>
      </w:r>
      <w:r>
        <w:instrText xml:space="preserve"> HYPERLINK "https://apps.odok.cz/veklep-detail?p_p_id=material_WAR_odokkpl&amp;p_p_lifecycle=0&amp;p_p_state=normal&amp;p_p_mode=view&amp;p_p_col_id=column-1&amp;p_p_col_count=3&amp;_material_WAR_odokkpl_pid=KORNBTGJPSXK&amp;tab=detail" </w:instrText>
      </w:r>
      <w:r>
        <w:fldChar w:fldCharType="separate"/>
      </w:r>
      <w:r w:rsidRPr="00BB4EA3">
        <w:rPr>
          <w:rStyle w:val="Hyperlink"/>
          <w:rFonts w:ascii="Times New Roman" w:hAnsi="Times New Roman" w:cs="Times New Roman"/>
          <w:sz w:val="24"/>
          <w:szCs w:val="24"/>
        </w:rPr>
        <w:t>návrh zákona</w:t>
      </w:r>
      <w:r>
        <w:fldChar w:fldCharType="end"/>
      </w:r>
      <w:r w:rsidRPr="007471AF" w:rsidR="00A87492">
        <w:rPr>
          <w:rStyle w:val="Hyperlink"/>
          <w:rFonts w:ascii="Times New Roman" w:hAnsi="Times New Roman" w:cs="Times New Roman"/>
          <w:color w:val="auto"/>
          <w:sz w:val="24"/>
          <w:szCs w:val="24"/>
          <w:u w:val="none"/>
          <w:vertAlign w:val="superscript"/>
        </w:rPr>
        <w:t>28)</w:t>
      </w:r>
      <w:r w:rsidRPr="00BB4EA3">
        <w:rPr>
          <w:rFonts w:ascii="Times New Roman" w:hAnsi="Times New Roman" w:cs="Times New Roman"/>
          <w:sz w:val="24"/>
          <w:szCs w:val="24"/>
        </w:rPr>
        <w:t xml:space="preserve"> byl dne 15. </w:t>
      </w:r>
      <w:r w:rsidR="00ED0B88">
        <w:rPr>
          <w:rFonts w:ascii="Times New Roman" w:hAnsi="Times New Roman" w:cs="Times New Roman"/>
          <w:sz w:val="24"/>
          <w:szCs w:val="24"/>
        </w:rPr>
        <w:t xml:space="preserve">9. </w:t>
      </w:r>
      <w:r w:rsidRPr="00BB4EA3">
        <w:rPr>
          <w:rFonts w:ascii="Times New Roman" w:hAnsi="Times New Roman" w:cs="Times New Roman"/>
          <w:sz w:val="24"/>
          <w:szCs w:val="24"/>
        </w:rPr>
        <w:t xml:space="preserve">2020 rozeslán do meziresortního připomínkového řízení a dne 19. </w:t>
      </w:r>
      <w:r w:rsidR="00ED0B88">
        <w:rPr>
          <w:rFonts w:ascii="Times New Roman" w:hAnsi="Times New Roman" w:cs="Times New Roman"/>
          <w:sz w:val="24"/>
          <w:szCs w:val="24"/>
        </w:rPr>
        <w:t xml:space="preserve">11. </w:t>
      </w:r>
      <w:r w:rsidRPr="00BB4EA3">
        <w:rPr>
          <w:rFonts w:ascii="Times New Roman" w:hAnsi="Times New Roman" w:cs="Times New Roman"/>
          <w:sz w:val="24"/>
          <w:szCs w:val="24"/>
        </w:rPr>
        <w:t>2020 byl předložen do vlády.</w:t>
      </w:r>
    </w:p>
    <w:p w:rsidR="006744DC"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Dne </w:t>
      </w:r>
      <w:r w:rsidRPr="00BB4EA3" w:rsidR="00C27A51">
        <w:rPr>
          <w:rFonts w:ascii="Times New Roman" w:hAnsi="Times New Roman" w:cs="Times New Roman"/>
          <w:sz w:val="24"/>
          <w:szCs w:val="24"/>
        </w:rPr>
        <w:t xml:space="preserve">28. </w:t>
      </w:r>
      <w:r w:rsidR="00ED0B88">
        <w:rPr>
          <w:rFonts w:ascii="Times New Roman" w:hAnsi="Times New Roman" w:cs="Times New Roman"/>
          <w:sz w:val="24"/>
          <w:szCs w:val="24"/>
        </w:rPr>
        <w:t xml:space="preserve">8. </w:t>
      </w:r>
      <w:r w:rsidRPr="00BB4EA3" w:rsidR="00C27A51">
        <w:rPr>
          <w:rFonts w:ascii="Times New Roman" w:hAnsi="Times New Roman" w:cs="Times New Roman"/>
          <w:sz w:val="24"/>
          <w:szCs w:val="24"/>
        </w:rPr>
        <w:t>2019 byl ve Sbírce zákonů publikován zákon č. 204/2019 Sb., kterým se mění některé zákony v souvislosti s podporou výkonu práv akcionářů, který transponoval novelu směrnice o výkonu některých práv akcionářů ve společnostech s kótovanými akciemi.</w:t>
      </w:r>
    </w:p>
    <w:p w:rsidR="00B669CE"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Dne 24. </w:t>
      </w:r>
      <w:r w:rsidR="00ED0B88">
        <w:rPr>
          <w:rFonts w:ascii="Times New Roman" w:hAnsi="Times New Roman" w:cs="Times New Roman"/>
          <w:sz w:val="24"/>
          <w:szCs w:val="24"/>
        </w:rPr>
        <w:t xml:space="preserve">3. </w:t>
      </w:r>
      <w:r w:rsidRPr="00BB4EA3">
        <w:rPr>
          <w:rFonts w:ascii="Times New Roman" w:hAnsi="Times New Roman" w:cs="Times New Roman"/>
          <w:sz w:val="24"/>
          <w:szCs w:val="24"/>
        </w:rPr>
        <w:t xml:space="preserve">2020 byl ve Sbírce zákonů publikován </w:t>
      </w:r>
      <w:r>
        <w:fldChar w:fldCharType="begin"/>
      </w:r>
      <w:r>
        <w:instrText xml:space="preserve"> HYPERLINK "https://www.mfcr.cz/cs/soukromy-sektor/kapitalovy-trh/podnikani-na-kapitalovem-trhu/2020/zakon-kterym-se-meni-nektere-zakony-v-ob-38099" </w:instrText>
      </w:r>
      <w:r>
        <w:fldChar w:fldCharType="separate"/>
      </w:r>
      <w:r w:rsidRPr="00BB4EA3">
        <w:rPr>
          <w:rStyle w:val="Hyperlink"/>
          <w:rFonts w:ascii="Times New Roman" w:hAnsi="Times New Roman" w:cs="Times New Roman"/>
          <w:sz w:val="24"/>
          <w:szCs w:val="24"/>
        </w:rPr>
        <w:t xml:space="preserve">zákon č. 119/2020 </w:t>
      </w:r>
      <w:r w:rsidRPr="00BB4EA3">
        <w:rPr>
          <w:rStyle w:val="Hyperlink"/>
          <w:rFonts w:ascii="Times New Roman" w:hAnsi="Times New Roman" w:cs="Times New Roman"/>
          <w:sz w:val="24"/>
          <w:szCs w:val="24"/>
        </w:rPr>
        <w:t>Sb.</w:t>
      </w:r>
      <w:r>
        <w:fldChar w:fldCharType="end"/>
      </w:r>
      <w:r w:rsidRPr="007471AF" w:rsidR="00A87492">
        <w:rPr>
          <w:rStyle w:val="Hyperlink"/>
          <w:rFonts w:ascii="Times New Roman" w:hAnsi="Times New Roman" w:cs="Times New Roman"/>
          <w:color w:val="auto"/>
          <w:sz w:val="24"/>
          <w:szCs w:val="24"/>
          <w:u w:val="none"/>
          <w:vertAlign w:val="superscript"/>
        </w:rPr>
        <w:t>29</w:t>
      </w:r>
      <w:r w:rsidRPr="007471AF" w:rsidR="00A87492">
        <w:rPr>
          <w:rStyle w:val="Hyperlink"/>
          <w:rFonts w:ascii="Times New Roman" w:hAnsi="Times New Roman" w:cs="Times New Roman"/>
          <w:color w:val="auto"/>
          <w:sz w:val="24"/>
          <w:szCs w:val="24"/>
          <w:u w:val="none"/>
          <w:vertAlign w:val="superscript"/>
        </w:rPr>
        <w:t>)</w:t>
      </w:r>
      <w:r w:rsidRPr="00BB4EA3">
        <w:rPr>
          <w:rFonts w:ascii="Times New Roman" w:hAnsi="Times New Roman" w:cs="Times New Roman"/>
          <w:sz w:val="24"/>
          <w:szCs w:val="24"/>
        </w:rPr>
        <w:t xml:space="preserve">, kterým se mění některé zákony v oblasti regulace podnikání na finančním trhu. Tento zákon reagoval zejména na </w:t>
      </w:r>
      <w:r w:rsidRPr="00BB4EA3" w:rsidR="006744DC">
        <w:rPr>
          <w:rFonts w:ascii="Times New Roman" w:hAnsi="Times New Roman" w:cs="Times New Roman"/>
          <w:sz w:val="24"/>
          <w:szCs w:val="24"/>
        </w:rPr>
        <w:t>nařízení EU o prospektu, zavedl ale také například povinnost, aby všechny dluhopisy vydávané podle českého práva měly přiděleno mezinárodní identifikační označení, tzv. ISIN. Zavedením této povinnosti by mělo být dosažení větší míry transparentnosti dluhopisů vydávaných v České republice, a to zejména ve vztahu k dluhopisům, ke kterým nebyl vyhotoven prospekt</w:t>
      </w:r>
      <w:r w:rsidRPr="00BB4EA3" w:rsidR="007B6673">
        <w:rPr>
          <w:rFonts w:ascii="Times New Roman" w:hAnsi="Times New Roman" w:cs="Times New Roman"/>
          <w:sz w:val="24"/>
          <w:szCs w:val="24"/>
        </w:rPr>
        <w:t xml:space="preserve">, což je </w:t>
      </w:r>
      <w:r w:rsidRPr="00BB4EA3" w:rsidR="006744DC">
        <w:rPr>
          <w:rFonts w:ascii="Times New Roman" w:hAnsi="Times New Roman" w:cs="Times New Roman"/>
          <w:sz w:val="24"/>
          <w:szCs w:val="24"/>
        </w:rPr>
        <w:t>informační dokument pro investory sc</w:t>
      </w:r>
      <w:r w:rsidRPr="00BB4EA3" w:rsidR="007B6673">
        <w:rPr>
          <w:rFonts w:ascii="Times New Roman" w:hAnsi="Times New Roman" w:cs="Times New Roman"/>
          <w:sz w:val="24"/>
          <w:szCs w:val="24"/>
        </w:rPr>
        <w:t>hvalovaný Č</w:t>
      </w:r>
      <w:r w:rsidR="00ED0B88">
        <w:rPr>
          <w:rFonts w:ascii="Times New Roman" w:hAnsi="Times New Roman" w:cs="Times New Roman"/>
          <w:sz w:val="24"/>
          <w:szCs w:val="24"/>
        </w:rPr>
        <w:t>NB</w:t>
      </w:r>
      <w:r w:rsidRPr="00BB4EA3" w:rsidR="006744DC">
        <w:rPr>
          <w:rFonts w:ascii="Times New Roman" w:hAnsi="Times New Roman" w:cs="Times New Roman"/>
          <w:sz w:val="24"/>
          <w:szCs w:val="24"/>
        </w:rPr>
        <w:t>.</w:t>
      </w:r>
    </w:p>
    <w:p w:rsidR="00C27A51" w:rsidRPr="00BB4EA3" w:rsidP="00867155">
      <w:pPr>
        <w:spacing w:before="240" w:after="120" w:line="240" w:lineRule="auto"/>
        <w:jc w:val="center"/>
        <w:rPr>
          <w:rFonts w:ascii="Times New Roman" w:hAnsi="Times New Roman" w:cs="Times New Roman"/>
          <w:b/>
          <w:sz w:val="24"/>
          <w:szCs w:val="24"/>
          <w:u w:val="single"/>
        </w:rPr>
      </w:pPr>
      <w:r w:rsidRPr="00BB4EA3">
        <w:rPr>
          <w:rFonts w:ascii="Times New Roman" w:hAnsi="Times New Roman" w:cs="Times New Roman"/>
          <w:b/>
          <w:sz w:val="24"/>
          <w:szCs w:val="24"/>
          <w:u w:val="single"/>
        </w:rPr>
        <w:t xml:space="preserve">II. Pokrok dosažený v letech 2019 a 2020 ve vztahu k jednotlivým opatřením </w:t>
      </w:r>
      <w:r w:rsidRPr="00BB4EA3" w:rsidR="004618DD">
        <w:rPr>
          <w:rFonts w:ascii="Times New Roman" w:hAnsi="Times New Roman" w:cs="Times New Roman"/>
          <w:b/>
          <w:sz w:val="24"/>
          <w:szCs w:val="24"/>
          <w:u w:val="single"/>
        </w:rPr>
        <w:t>z Koncepce</w:t>
      </w:r>
    </w:p>
    <w:p w:rsidR="004618DD" w:rsidRPr="00BB4EA3" w:rsidP="00867155">
      <w:pPr>
        <w:spacing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Koncepce obsahuje návrh 33 </w:t>
      </w:r>
      <w:r w:rsidRPr="00BB4EA3" w:rsidR="005C7626">
        <w:rPr>
          <w:rFonts w:ascii="Times New Roman" w:hAnsi="Times New Roman" w:cs="Times New Roman"/>
          <w:sz w:val="24"/>
          <w:szCs w:val="24"/>
        </w:rPr>
        <w:t>dílčích</w:t>
      </w:r>
      <w:r w:rsidRPr="00BB4EA3">
        <w:rPr>
          <w:rFonts w:ascii="Times New Roman" w:hAnsi="Times New Roman" w:cs="Times New Roman"/>
          <w:sz w:val="24"/>
          <w:szCs w:val="24"/>
        </w:rPr>
        <w:t xml:space="preserve"> opatření</w:t>
      </w:r>
      <w:r w:rsidRPr="00BB4EA3" w:rsidR="005C7626">
        <w:rPr>
          <w:rFonts w:ascii="Times New Roman" w:hAnsi="Times New Roman" w:cs="Times New Roman"/>
          <w:sz w:val="24"/>
          <w:szCs w:val="24"/>
        </w:rPr>
        <w:t xml:space="preserve"> (seskupených pod 27 číslovaných opatření</w:t>
      </w:r>
      <w:r w:rsidR="00623695">
        <w:rPr>
          <w:rFonts w:ascii="Times New Roman" w:hAnsi="Times New Roman" w:cs="Times New Roman"/>
          <w:sz w:val="24"/>
          <w:szCs w:val="24"/>
        </w:rPr>
        <w:t>, kdy více než jedno opatření je zahrnuto pod č. 3, 8 a 16</w:t>
      </w:r>
      <w:r w:rsidRPr="00BB4EA3" w:rsidR="005C7626">
        <w:rPr>
          <w:rFonts w:ascii="Times New Roman" w:hAnsi="Times New Roman" w:cs="Times New Roman"/>
          <w:sz w:val="24"/>
          <w:szCs w:val="24"/>
        </w:rPr>
        <w:t>)</w:t>
      </w:r>
      <w:r w:rsidRPr="00BB4EA3">
        <w:rPr>
          <w:rFonts w:ascii="Times New Roman" w:hAnsi="Times New Roman" w:cs="Times New Roman"/>
          <w:sz w:val="24"/>
          <w:szCs w:val="24"/>
        </w:rPr>
        <w:t>, která by měla být realizována v letech 2019 až 2023. Tato opatření lze rozdělit na opatření legislativní povahy a opatření nelegislativní povahy. Většina opatření legislativní pov</w:t>
      </w:r>
      <w:r w:rsidRPr="00BB4EA3" w:rsidR="005B5873">
        <w:rPr>
          <w:rFonts w:ascii="Times New Roman" w:hAnsi="Times New Roman" w:cs="Times New Roman"/>
          <w:sz w:val="24"/>
          <w:szCs w:val="24"/>
        </w:rPr>
        <w:t>ahy je obsažena v </w:t>
      </w:r>
      <w:r w:rsidRPr="00BB4EA3">
        <w:rPr>
          <w:rFonts w:ascii="Times New Roman" w:hAnsi="Times New Roman" w:cs="Times New Roman"/>
          <w:sz w:val="24"/>
          <w:szCs w:val="24"/>
        </w:rPr>
        <w:t>návrhu zákona, kterým se mění některé zákony v souvislosti s rozvojem kapitálového trhu</w:t>
      </w:r>
      <w:r w:rsidRPr="00BB4EA3" w:rsidR="005C7626">
        <w:rPr>
          <w:rFonts w:ascii="Times New Roman" w:hAnsi="Times New Roman" w:cs="Times New Roman"/>
          <w:sz w:val="24"/>
          <w:szCs w:val="24"/>
        </w:rPr>
        <w:t xml:space="preserve"> (dále jen „</w:t>
      </w:r>
      <w:r w:rsidRPr="00867155" w:rsidR="00182203">
        <w:rPr>
          <w:rFonts w:ascii="Times New Roman" w:hAnsi="Times New Roman" w:cs="Times New Roman"/>
          <w:b/>
          <w:sz w:val="24"/>
          <w:szCs w:val="24"/>
        </w:rPr>
        <w:t>k</w:t>
      </w:r>
      <w:r w:rsidRPr="00BB4EA3" w:rsidR="005C7626">
        <w:rPr>
          <w:rFonts w:ascii="Times New Roman" w:hAnsi="Times New Roman" w:cs="Times New Roman"/>
          <w:b/>
          <w:sz w:val="24"/>
          <w:szCs w:val="24"/>
        </w:rPr>
        <w:t>oncepční novela</w:t>
      </w:r>
      <w:r w:rsidRPr="00BB4EA3" w:rsidR="005C7626">
        <w:rPr>
          <w:rFonts w:ascii="Times New Roman" w:hAnsi="Times New Roman" w:cs="Times New Roman"/>
          <w:sz w:val="24"/>
          <w:szCs w:val="24"/>
        </w:rPr>
        <w:t>“)</w:t>
      </w:r>
      <w:r w:rsidRPr="00BB4EA3">
        <w:rPr>
          <w:rFonts w:ascii="Times New Roman" w:hAnsi="Times New Roman" w:cs="Times New Roman"/>
          <w:sz w:val="24"/>
          <w:szCs w:val="24"/>
        </w:rPr>
        <w:t xml:space="preserve">, který dne 24. </w:t>
      </w:r>
      <w:r w:rsidR="00182203">
        <w:rPr>
          <w:rFonts w:ascii="Times New Roman" w:hAnsi="Times New Roman" w:cs="Times New Roman"/>
          <w:sz w:val="24"/>
          <w:szCs w:val="24"/>
        </w:rPr>
        <w:t xml:space="preserve">8. </w:t>
      </w:r>
      <w:r w:rsidRPr="00BB4EA3">
        <w:rPr>
          <w:rFonts w:ascii="Times New Roman" w:hAnsi="Times New Roman" w:cs="Times New Roman"/>
          <w:sz w:val="24"/>
          <w:szCs w:val="24"/>
        </w:rPr>
        <w:t>2020 schválila vláda</w:t>
      </w:r>
      <w:r w:rsidR="00182203">
        <w:rPr>
          <w:rFonts w:ascii="Times New Roman" w:hAnsi="Times New Roman" w:cs="Times New Roman"/>
          <w:sz w:val="24"/>
          <w:szCs w:val="24"/>
        </w:rPr>
        <w:t>.</w:t>
      </w:r>
      <w:r w:rsidRPr="00BB4EA3">
        <w:rPr>
          <w:rFonts w:ascii="Times New Roman" w:hAnsi="Times New Roman" w:cs="Times New Roman"/>
          <w:sz w:val="24"/>
          <w:szCs w:val="24"/>
        </w:rPr>
        <w:t xml:space="preserve"> Tento návrh zákona zatím čeká na své projednání v prvním čtení. </w:t>
      </w:r>
      <w:r w:rsidR="00182203">
        <w:rPr>
          <w:rFonts w:ascii="Times New Roman" w:hAnsi="Times New Roman" w:cs="Times New Roman"/>
          <w:sz w:val="24"/>
          <w:szCs w:val="24"/>
        </w:rPr>
        <w:t xml:space="preserve">Jeho účinnost je navržena </w:t>
      </w:r>
      <w:r w:rsidR="00894D70">
        <w:rPr>
          <w:rFonts w:ascii="Times New Roman" w:hAnsi="Times New Roman" w:cs="Times New Roman"/>
          <w:sz w:val="24"/>
          <w:szCs w:val="24"/>
        </w:rPr>
        <w:t>od 1. </w:t>
      </w:r>
      <w:r w:rsidR="00182203">
        <w:rPr>
          <w:rFonts w:ascii="Times New Roman" w:hAnsi="Times New Roman" w:cs="Times New Roman"/>
          <w:sz w:val="24"/>
          <w:szCs w:val="24"/>
        </w:rPr>
        <w:t xml:space="preserve">1. </w:t>
      </w:r>
      <w:r w:rsidRPr="00BB4EA3">
        <w:rPr>
          <w:rFonts w:ascii="Times New Roman" w:hAnsi="Times New Roman" w:cs="Times New Roman"/>
          <w:sz w:val="24"/>
          <w:szCs w:val="24"/>
        </w:rPr>
        <w:t>2022</w:t>
      </w:r>
      <w:r w:rsidR="00182203">
        <w:rPr>
          <w:rFonts w:ascii="Times New Roman" w:hAnsi="Times New Roman" w:cs="Times New Roman"/>
          <w:sz w:val="24"/>
          <w:szCs w:val="24"/>
        </w:rPr>
        <w:t xml:space="preserve">, avšak toto datum závisí na tom, zda se návrh zákona podaří projednat v tomto volebním období. </w:t>
      </w:r>
      <w:r w:rsidRPr="00BB4EA3" w:rsidR="00AA47E3">
        <w:rPr>
          <w:rFonts w:ascii="Times New Roman" w:hAnsi="Times New Roman" w:cs="Times New Roman"/>
          <w:sz w:val="24"/>
          <w:szCs w:val="24"/>
        </w:rPr>
        <w:t xml:space="preserve">Opatření nelegislativní povahy jsou do značné míry popsána výše. Níže jsou </w:t>
      </w:r>
      <w:r w:rsidRPr="00BB4EA3" w:rsidR="005C7626">
        <w:rPr>
          <w:rFonts w:ascii="Times New Roman" w:hAnsi="Times New Roman" w:cs="Times New Roman"/>
          <w:sz w:val="24"/>
          <w:szCs w:val="24"/>
        </w:rPr>
        <w:t>uvedeny komentáře k</w:t>
      </w:r>
      <w:r w:rsidR="00182203">
        <w:rPr>
          <w:rFonts w:ascii="Times New Roman" w:hAnsi="Times New Roman" w:cs="Times New Roman"/>
          <w:sz w:val="24"/>
          <w:szCs w:val="24"/>
        </w:rPr>
        <w:t> </w:t>
      </w:r>
      <w:r w:rsidRPr="00BB4EA3" w:rsidR="005C7626">
        <w:rPr>
          <w:rFonts w:ascii="Times New Roman" w:hAnsi="Times New Roman" w:cs="Times New Roman"/>
          <w:sz w:val="24"/>
          <w:szCs w:val="24"/>
        </w:rPr>
        <w:t>jednotlivým opatřením navrženým v Koncepci v pořadí, v jakém byly v této Koncepci uvedeny:</w:t>
      </w:r>
    </w:p>
    <w:p w:rsidR="005C7626" w:rsidRPr="00BB4EA3" w:rsidP="00867155">
      <w:pPr>
        <w:keepNext/>
        <w:jc w:val="center"/>
        <w:rPr>
          <w:rFonts w:ascii="Times New Roman" w:hAnsi="Times New Roman" w:cs="Times New Roman"/>
          <w:i/>
          <w:sz w:val="24"/>
          <w:szCs w:val="24"/>
        </w:rPr>
      </w:pPr>
      <w:r w:rsidRPr="00BB4EA3">
        <w:rPr>
          <w:rFonts w:ascii="Times New Roman" w:hAnsi="Times New Roman" w:cs="Times New Roman"/>
          <w:b/>
          <w:bCs/>
          <w:i/>
          <w:sz w:val="24"/>
          <w:szCs w:val="24"/>
        </w:rPr>
        <w:t>1) Zavedení účtu dlouhodobých investic</w:t>
      </w:r>
    </w:p>
    <w:tbl>
      <w:tblPr>
        <w:tblStyle w:val="Mkatabulky3"/>
        <w:tblW w:w="9180" w:type="dxa"/>
        <w:shd w:val="solid" w:color="auto" w:fill="auto"/>
        <w:tblLayout w:type="fixed"/>
        <w:tblLook w:val="04A0"/>
      </w:tblPr>
      <w:tblGrid>
        <w:gridCol w:w="5353"/>
        <w:gridCol w:w="2693"/>
        <w:gridCol w:w="1134"/>
      </w:tblGrid>
      <w:tr w:rsidTr="00820E67">
        <w:tblPrEx>
          <w:tblW w:w="9180" w:type="dxa"/>
          <w:shd w:val="solid" w:color="auto" w:fill="auto"/>
          <w:tblLayout w:type="fixed"/>
          <w:tblLook w:val="04A0"/>
        </w:tblPrEx>
        <w:tc>
          <w:tcPr>
            <w:tcW w:w="5353" w:type="dxa"/>
            <w:shd w:val="clear" w:color="auto" w:fill="002060"/>
          </w:tcPr>
          <w:p w:rsidR="005C7626"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5C7626"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5C7626"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9180" w:type="dxa"/>
          <w:shd w:val="solid" w:color="auto" w:fill="auto"/>
          <w:tblLayout w:type="fixed"/>
          <w:tblLook w:val="04A0"/>
        </w:tblPrEx>
        <w:tc>
          <w:tcPr>
            <w:tcW w:w="5353" w:type="dxa"/>
            <w:shd w:val="clear" w:color="auto" w:fill="auto"/>
          </w:tcPr>
          <w:p w:rsidR="005C7626" w:rsidRPr="00867155" w:rsidP="00820E67">
            <w:pPr>
              <w:rPr>
                <w:rFonts w:ascii="Times New Roman" w:hAnsi="Times New Roman" w:cs="Times New Roman"/>
                <w:sz w:val="20"/>
                <w:szCs w:val="20"/>
              </w:rPr>
            </w:pPr>
            <w:r w:rsidRPr="00867155">
              <w:rPr>
                <w:rFonts w:ascii="Times New Roman" w:hAnsi="Times New Roman" w:cs="Times New Roman"/>
                <w:sz w:val="20"/>
                <w:szCs w:val="20"/>
              </w:rPr>
              <w:t>Navrhnout zavedení účtu dlouhodobých investic a předložit vládě návrh novely dotčených zákonů (zejména zákona o daních z příjmů a zákona o podnikání na kapitálovém trhu)</w:t>
            </w:r>
          </w:p>
        </w:tc>
        <w:tc>
          <w:tcPr>
            <w:tcW w:w="2693" w:type="dxa"/>
            <w:shd w:val="clear" w:color="auto" w:fill="auto"/>
          </w:tcPr>
          <w:p w:rsidR="005C7626" w:rsidRPr="00867155" w:rsidP="005C7626">
            <w:pPr>
              <w:jc w:val="center"/>
              <w:rPr>
                <w:rFonts w:ascii="Times New Roman" w:hAnsi="Times New Roman" w:cs="Times New Roman"/>
                <w:sz w:val="20"/>
                <w:szCs w:val="20"/>
              </w:rPr>
            </w:pPr>
            <w:r w:rsidRPr="00867155">
              <w:rPr>
                <w:rFonts w:ascii="Times New Roman" w:hAnsi="Times New Roman" w:cs="Times New Roman"/>
                <w:sz w:val="20"/>
                <w:szCs w:val="20"/>
              </w:rPr>
              <w:t xml:space="preserve">MF, MPSV, AKAT, APS ČR, ČAP, ČBA, </w:t>
            </w:r>
            <w:r w:rsidRPr="00867155">
              <w:rPr>
                <w:rFonts w:ascii="Times New Roman" w:hAnsi="Times New Roman" w:cs="Times New Roman"/>
                <w:bCs/>
                <w:sz w:val="20"/>
                <w:szCs w:val="20"/>
              </w:rPr>
              <w:t>(ČMKOS)</w:t>
            </w:r>
          </w:p>
        </w:tc>
        <w:tc>
          <w:tcPr>
            <w:tcW w:w="1134" w:type="dxa"/>
            <w:shd w:val="clear" w:color="auto" w:fill="auto"/>
          </w:tcPr>
          <w:p w:rsidR="005C7626"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AA47E3" w:rsidRPr="00BB4EA3" w:rsidP="005C7626">
      <w:pPr>
        <w:spacing w:before="160"/>
        <w:jc w:val="both"/>
        <w:rPr>
          <w:rFonts w:ascii="Times New Roman" w:hAnsi="Times New Roman" w:cs="Times New Roman"/>
          <w:sz w:val="24"/>
          <w:szCs w:val="24"/>
        </w:rPr>
      </w:pPr>
      <w:r w:rsidRPr="00BB4EA3">
        <w:rPr>
          <w:rFonts w:ascii="Times New Roman" w:hAnsi="Times New Roman" w:cs="Times New Roman"/>
          <w:sz w:val="24"/>
          <w:szCs w:val="24"/>
        </w:rPr>
        <w:t xml:space="preserve">Zavedení účtu dlouhodobých investic </w:t>
      </w:r>
      <w:r w:rsidRPr="00BB4EA3" w:rsidR="00025EE0">
        <w:rPr>
          <w:rFonts w:ascii="Times New Roman" w:hAnsi="Times New Roman" w:cs="Times New Roman"/>
          <w:sz w:val="24"/>
          <w:szCs w:val="24"/>
        </w:rPr>
        <w:t xml:space="preserve">je navrhováno v rámci </w:t>
      </w:r>
      <w:r w:rsidR="00182203">
        <w:rPr>
          <w:rFonts w:ascii="Times New Roman" w:hAnsi="Times New Roman" w:cs="Times New Roman"/>
          <w:sz w:val="24"/>
          <w:szCs w:val="24"/>
        </w:rPr>
        <w:t>k</w:t>
      </w:r>
      <w:r w:rsidRPr="00BB4EA3" w:rsidR="00025EE0">
        <w:rPr>
          <w:rFonts w:ascii="Times New Roman" w:hAnsi="Times New Roman" w:cs="Times New Roman"/>
          <w:sz w:val="24"/>
          <w:szCs w:val="24"/>
        </w:rPr>
        <w:t>oncepční novely. Změny se týkají zejména zákona o daních z příjmů, zákona o podnikání</w:t>
      </w:r>
      <w:r w:rsidRPr="00BB4EA3" w:rsidR="005B5873">
        <w:rPr>
          <w:rFonts w:ascii="Times New Roman" w:hAnsi="Times New Roman" w:cs="Times New Roman"/>
          <w:sz w:val="24"/>
          <w:szCs w:val="24"/>
        </w:rPr>
        <w:t xml:space="preserve"> na kapitálovém trhu a zákona o </w:t>
      </w:r>
      <w:r w:rsidRPr="00BB4EA3" w:rsidR="00025EE0">
        <w:rPr>
          <w:rFonts w:ascii="Times New Roman" w:hAnsi="Times New Roman" w:cs="Times New Roman"/>
          <w:sz w:val="24"/>
          <w:szCs w:val="24"/>
        </w:rPr>
        <w:t xml:space="preserve">finančním arbitrovi. V zákoně o daních z příjmů se navrhuje zavést pojem „daňově podporovaný produkt spoření na stáří“, který </w:t>
      </w:r>
      <w:r w:rsidR="00182203">
        <w:rPr>
          <w:rFonts w:ascii="Times New Roman" w:hAnsi="Times New Roman" w:cs="Times New Roman"/>
          <w:sz w:val="24"/>
          <w:szCs w:val="24"/>
        </w:rPr>
        <w:t>vedle již dnes podporovaných produktů (životního pojištění a penzijních fondů</w:t>
      </w:r>
      <w:r w:rsidR="00236379">
        <w:rPr>
          <w:rFonts w:ascii="Times New Roman" w:hAnsi="Times New Roman" w:cs="Times New Roman"/>
          <w:sz w:val="24"/>
          <w:szCs w:val="24"/>
        </w:rPr>
        <w:t xml:space="preserve">, resp. </w:t>
      </w:r>
      <w:r w:rsidRPr="00236379" w:rsidR="00236379">
        <w:rPr>
          <w:rFonts w:ascii="Times New Roman" w:hAnsi="Times New Roman" w:cs="Times New Roman"/>
          <w:sz w:val="24"/>
          <w:szCs w:val="24"/>
        </w:rPr>
        <w:t>penzijního připojištění se státním příspěvkem, doplňkového penzijního spoření a penzijního pojištění</w:t>
      </w:r>
      <w:r w:rsidR="00182203">
        <w:rPr>
          <w:rFonts w:ascii="Times New Roman" w:hAnsi="Times New Roman" w:cs="Times New Roman"/>
          <w:sz w:val="24"/>
          <w:szCs w:val="24"/>
        </w:rPr>
        <w:t xml:space="preserve">) </w:t>
      </w:r>
      <w:r w:rsidRPr="00BB4EA3" w:rsidR="00025EE0">
        <w:rPr>
          <w:rFonts w:ascii="Times New Roman" w:hAnsi="Times New Roman" w:cs="Times New Roman"/>
          <w:sz w:val="24"/>
          <w:szCs w:val="24"/>
        </w:rPr>
        <w:t>nově zahrnuje i účet dlouhodobých investic</w:t>
      </w:r>
      <w:r w:rsidR="00894D70">
        <w:rPr>
          <w:rFonts w:ascii="Times New Roman" w:hAnsi="Times New Roman" w:cs="Times New Roman"/>
          <w:sz w:val="24"/>
          <w:szCs w:val="24"/>
        </w:rPr>
        <w:t xml:space="preserve">. </w:t>
      </w:r>
      <w:r w:rsidRPr="00236379" w:rsidR="00236379">
        <w:rPr>
          <w:rFonts w:ascii="Times New Roman" w:hAnsi="Times New Roman" w:cs="Times New Roman"/>
          <w:sz w:val="24"/>
          <w:szCs w:val="24"/>
        </w:rPr>
        <w:t>Obdobně jako u stávajících daňově podporovaných produktů</w:t>
      </w:r>
      <w:r w:rsidRPr="00236379" w:rsidR="00236379">
        <w:rPr>
          <w:rFonts w:ascii="Times New Roman" w:hAnsi="Times New Roman" w:cs="Times New Roman"/>
          <w:sz w:val="24"/>
          <w:szCs w:val="24"/>
        </w:rPr>
        <w:t xml:space="preserve"> </w:t>
      </w:r>
      <w:r w:rsidRPr="00BB4EA3" w:rsidR="00025EE0">
        <w:rPr>
          <w:rFonts w:ascii="Times New Roman" w:hAnsi="Times New Roman" w:cs="Times New Roman"/>
          <w:sz w:val="24"/>
          <w:szCs w:val="24"/>
        </w:rPr>
        <w:t>nesmí být prostředky z</w:t>
      </w:r>
      <w:r w:rsidR="001C2CD4">
        <w:rPr>
          <w:rFonts w:ascii="Times New Roman" w:hAnsi="Times New Roman" w:cs="Times New Roman"/>
          <w:sz w:val="24"/>
          <w:szCs w:val="24"/>
        </w:rPr>
        <w:t> </w:t>
      </w:r>
      <w:r w:rsidRPr="00BB4EA3" w:rsidR="00025EE0">
        <w:rPr>
          <w:rFonts w:ascii="Times New Roman" w:hAnsi="Times New Roman" w:cs="Times New Roman"/>
          <w:sz w:val="24"/>
          <w:szCs w:val="24"/>
        </w:rPr>
        <w:t>účtu dlouhodobých investic vyvedeny před dosažením 60 let věku poplatníka. Prostředky na</w:t>
      </w:r>
      <w:r w:rsidR="001C2CD4">
        <w:rPr>
          <w:rFonts w:ascii="Times New Roman" w:hAnsi="Times New Roman" w:cs="Times New Roman"/>
          <w:sz w:val="24"/>
          <w:szCs w:val="24"/>
        </w:rPr>
        <w:t> </w:t>
      </w:r>
      <w:r w:rsidRPr="00BB4EA3" w:rsidR="00025EE0">
        <w:rPr>
          <w:rFonts w:ascii="Times New Roman" w:hAnsi="Times New Roman" w:cs="Times New Roman"/>
          <w:sz w:val="24"/>
          <w:szCs w:val="24"/>
        </w:rPr>
        <w:t>účtu dlouhodobých investic mohou být investovány do akcií, dluhopisů nebo investičních fondů, případně je lze držet na účtu v bance. Je také dovoleno sjednávat deriváty k zajištění měnového a úrokového rizika k investicím drženým na účtu dlouhodobých investic. Vést účet dlouhodobých investic mohou osoby oprávněné k vedení evidence investičních nástrojů a</w:t>
      </w:r>
      <w:r w:rsidR="00182203">
        <w:rPr>
          <w:rFonts w:ascii="Times New Roman" w:hAnsi="Times New Roman" w:cs="Times New Roman"/>
          <w:sz w:val="24"/>
          <w:szCs w:val="24"/>
        </w:rPr>
        <w:t> </w:t>
      </w:r>
      <w:r w:rsidRPr="00BB4EA3" w:rsidR="00025EE0">
        <w:rPr>
          <w:rFonts w:ascii="Times New Roman" w:hAnsi="Times New Roman" w:cs="Times New Roman"/>
          <w:sz w:val="24"/>
          <w:szCs w:val="24"/>
        </w:rPr>
        <w:t>osoby oprávněné přijímat vklady od veřejnosti, konkrétně tedy banky, obchodníci s cennými papíry nebo investiční společnosti, případně MF ve vztahu ke státním dluhopisům.</w:t>
      </w:r>
      <w:r w:rsidRPr="00BB4EA3" w:rsidR="00C418D8">
        <w:rPr>
          <w:rFonts w:ascii="Times New Roman" w:hAnsi="Times New Roman" w:cs="Times New Roman"/>
          <w:sz w:val="24"/>
          <w:szCs w:val="24"/>
        </w:rPr>
        <w:t xml:space="preserve"> </w:t>
      </w:r>
      <w:r w:rsidR="00612550">
        <w:rPr>
          <w:rFonts w:ascii="Times New Roman" w:hAnsi="Times New Roman" w:cs="Times New Roman"/>
          <w:sz w:val="24"/>
          <w:szCs w:val="24"/>
        </w:rPr>
        <w:t xml:space="preserve">U </w:t>
      </w:r>
      <w:r w:rsidRPr="00BB4EA3" w:rsidR="00C418D8">
        <w:rPr>
          <w:rFonts w:ascii="Times New Roman" w:hAnsi="Times New Roman" w:cs="Times New Roman"/>
          <w:sz w:val="24"/>
          <w:szCs w:val="24"/>
        </w:rPr>
        <w:t>daňově podporovaný</w:t>
      </w:r>
      <w:r w:rsidR="00612550">
        <w:rPr>
          <w:rFonts w:ascii="Times New Roman" w:hAnsi="Times New Roman" w:cs="Times New Roman"/>
          <w:sz w:val="24"/>
          <w:szCs w:val="24"/>
        </w:rPr>
        <w:t>ch</w:t>
      </w:r>
      <w:r w:rsidRPr="00BB4EA3" w:rsidR="00C418D8">
        <w:rPr>
          <w:rFonts w:ascii="Times New Roman" w:hAnsi="Times New Roman" w:cs="Times New Roman"/>
          <w:sz w:val="24"/>
          <w:szCs w:val="24"/>
        </w:rPr>
        <w:t xml:space="preserve"> produktů spoření na stáří dochází ke sloučení</w:t>
      </w:r>
      <w:r w:rsidR="00236379">
        <w:rPr>
          <w:rFonts w:ascii="Times New Roman" w:hAnsi="Times New Roman" w:cs="Times New Roman"/>
          <w:sz w:val="24"/>
          <w:szCs w:val="24"/>
        </w:rPr>
        <w:t xml:space="preserve"> dvou</w:t>
      </w:r>
      <w:r w:rsidRPr="00BB4EA3" w:rsidR="00C418D8">
        <w:rPr>
          <w:rFonts w:ascii="Times New Roman" w:hAnsi="Times New Roman" w:cs="Times New Roman"/>
          <w:sz w:val="24"/>
          <w:szCs w:val="24"/>
        </w:rPr>
        <w:t xml:space="preserve"> stávajících limitů do</w:t>
      </w:r>
      <w:r w:rsidR="001C2CD4">
        <w:rPr>
          <w:rFonts w:ascii="Times New Roman" w:hAnsi="Times New Roman" w:cs="Times New Roman"/>
          <w:sz w:val="24"/>
          <w:szCs w:val="24"/>
        </w:rPr>
        <w:t> </w:t>
      </w:r>
      <w:r w:rsidRPr="00BB4EA3" w:rsidR="00C418D8">
        <w:rPr>
          <w:rFonts w:ascii="Times New Roman" w:hAnsi="Times New Roman" w:cs="Times New Roman"/>
          <w:sz w:val="24"/>
          <w:szCs w:val="24"/>
        </w:rPr>
        <w:t xml:space="preserve">jednoho </w:t>
      </w:r>
      <w:r w:rsidR="00236379">
        <w:rPr>
          <w:rFonts w:ascii="Times New Roman" w:hAnsi="Times New Roman" w:cs="Times New Roman"/>
          <w:sz w:val="24"/>
          <w:szCs w:val="24"/>
        </w:rPr>
        <w:t xml:space="preserve">společného </w:t>
      </w:r>
      <w:r w:rsidRPr="00BB4EA3" w:rsidR="00C418D8">
        <w:rPr>
          <w:rFonts w:ascii="Times New Roman" w:hAnsi="Times New Roman" w:cs="Times New Roman"/>
          <w:sz w:val="24"/>
          <w:szCs w:val="24"/>
        </w:rPr>
        <w:t>ve výši 48</w:t>
      </w:r>
      <w:r w:rsidR="001C2CD4">
        <w:rPr>
          <w:rFonts w:ascii="Times New Roman" w:hAnsi="Times New Roman" w:cs="Times New Roman"/>
          <w:sz w:val="24"/>
          <w:szCs w:val="24"/>
        </w:rPr>
        <w:t> </w:t>
      </w:r>
      <w:r w:rsidR="00612550">
        <w:rPr>
          <w:rFonts w:ascii="Times New Roman" w:hAnsi="Times New Roman" w:cs="Times New Roman"/>
          <w:sz w:val="24"/>
          <w:szCs w:val="24"/>
        </w:rPr>
        <w:t>000</w:t>
      </w:r>
      <w:r w:rsidR="001C2CD4">
        <w:rPr>
          <w:rFonts w:ascii="Times New Roman" w:hAnsi="Times New Roman" w:cs="Times New Roman"/>
          <w:sz w:val="24"/>
          <w:szCs w:val="24"/>
        </w:rPr>
        <w:t xml:space="preserve"> </w:t>
      </w:r>
      <w:r w:rsidRPr="00BB4EA3" w:rsidR="00C418D8">
        <w:rPr>
          <w:rFonts w:ascii="Times New Roman" w:hAnsi="Times New Roman" w:cs="Times New Roman"/>
          <w:sz w:val="24"/>
          <w:szCs w:val="24"/>
        </w:rPr>
        <w:t>Kč a rozšíření tohoto limitu i na účet dlouhodobých investic.</w:t>
      </w:r>
    </w:p>
    <w:p w:rsidR="00C418D8" w:rsidRPr="00BB4EA3" w:rsidP="00867155">
      <w:pPr>
        <w:spacing w:before="120" w:after="120" w:line="240" w:lineRule="auto"/>
        <w:jc w:val="center"/>
        <w:rPr>
          <w:rFonts w:ascii="Times New Roman" w:hAnsi="Times New Roman" w:cs="Times New Roman"/>
          <w:b/>
          <w:bCs/>
          <w:i/>
          <w:sz w:val="24"/>
          <w:szCs w:val="24"/>
        </w:rPr>
      </w:pPr>
      <w:r w:rsidRPr="00BB4EA3">
        <w:rPr>
          <w:rFonts w:ascii="Times New Roman" w:hAnsi="Times New Roman" w:cs="Times New Roman"/>
          <w:b/>
          <w:bCs/>
          <w:i/>
          <w:sz w:val="24"/>
          <w:szCs w:val="24"/>
        </w:rPr>
        <w:t>2) Zatraktivnění investic do investičních fondů z iniciativy investora</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C418D8"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C418D8"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C418D8"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ayout w:type="fixed"/>
          <w:tblLook w:val="04A0"/>
        </w:tblPrEx>
        <w:tc>
          <w:tcPr>
            <w:tcW w:w="5353" w:type="dxa"/>
            <w:shd w:val="clear" w:color="auto" w:fill="auto"/>
          </w:tcPr>
          <w:p w:rsidR="00C418D8" w:rsidRPr="00867155" w:rsidP="00820E67">
            <w:pPr>
              <w:rPr>
                <w:rFonts w:ascii="Times New Roman" w:hAnsi="Times New Roman" w:cs="Times New Roman"/>
                <w:sz w:val="20"/>
                <w:szCs w:val="20"/>
              </w:rPr>
            </w:pPr>
            <w:r w:rsidRPr="00867155">
              <w:rPr>
                <w:rFonts w:ascii="Times New Roman" w:hAnsi="Times New Roman" w:cs="Times New Roman"/>
                <w:sz w:val="20"/>
                <w:szCs w:val="20"/>
              </w:rPr>
              <w:t>Zahájit diskuse o možnostech snížení nákladů při nákupu cenných papírů vydávaných investičními fondy z iniciativy investora a případně navrhnout vhodné změny regulace týkající se takového prodeje bez poradenství</w:t>
            </w:r>
          </w:p>
        </w:tc>
        <w:tc>
          <w:tcPr>
            <w:tcW w:w="2693" w:type="dxa"/>
            <w:shd w:val="clear" w:color="auto" w:fill="auto"/>
          </w:tcPr>
          <w:p w:rsidR="00C418D8"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C418D8" w:rsidRPr="00867155" w:rsidP="00820E67">
            <w:pPr>
              <w:rPr>
                <w:rFonts w:ascii="Times New Roman" w:hAnsi="Times New Roman" w:cs="Times New Roman"/>
                <w:sz w:val="20"/>
                <w:szCs w:val="20"/>
              </w:rPr>
            </w:pPr>
            <w:r w:rsidRPr="00867155">
              <w:rPr>
                <w:rFonts w:ascii="Times New Roman" w:hAnsi="Times New Roman" w:cs="Times New Roman"/>
                <w:sz w:val="20"/>
                <w:szCs w:val="20"/>
              </w:rPr>
              <w:t>Q4 2019</w:t>
            </w:r>
          </w:p>
        </w:tc>
      </w:tr>
    </w:tbl>
    <w:p w:rsidR="00C418D8" w:rsidRPr="00BB4EA3" w:rsidP="00867155">
      <w:pPr>
        <w:spacing w:before="120"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Diskuse o možnostech snížení nákladů na distribuci investičních fondů byly zahájeny zejména v rámci veřejné konzultace uveřejněné 8. </w:t>
      </w:r>
      <w:r w:rsidR="00612550">
        <w:rPr>
          <w:rFonts w:ascii="Times New Roman" w:hAnsi="Times New Roman" w:cs="Times New Roman"/>
          <w:sz w:val="24"/>
          <w:szCs w:val="24"/>
        </w:rPr>
        <w:t>8.</w:t>
      </w:r>
      <w:r w:rsidRPr="00BB4EA3">
        <w:rPr>
          <w:rFonts w:ascii="Times New Roman" w:hAnsi="Times New Roman" w:cs="Times New Roman"/>
          <w:sz w:val="24"/>
          <w:szCs w:val="24"/>
        </w:rPr>
        <w:t xml:space="preserve"> 2020. </w:t>
      </w:r>
      <w:r w:rsidRPr="00BB4EA3" w:rsidR="005B5873">
        <w:rPr>
          <w:rFonts w:ascii="Times New Roman" w:hAnsi="Times New Roman" w:cs="Times New Roman"/>
          <w:sz w:val="24"/>
          <w:szCs w:val="24"/>
        </w:rPr>
        <w:t xml:space="preserve">V rámci této veřejné konzultace byla zvažována harmonizace investičních dotazníků s cílem zajistit jejich přenositelnost mezi jednotlivými poskytovateli investičních služeb. </w:t>
      </w:r>
      <w:r w:rsidRPr="00BB4EA3" w:rsidR="007016D1">
        <w:rPr>
          <w:rFonts w:ascii="Times New Roman" w:hAnsi="Times New Roman" w:cs="Times New Roman"/>
          <w:sz w:val="24"/>
          <w:szCs w:val="24"/>
        </w:rPr>
        <w:t xml:space="preserve">Z </w:t>
      </w:r>
      <w:r w:rsidRPr="00BB4EA3" w:rsidR="00736B71">
        <w:rPr>
          <w:rFonts w:ascii="Times New Roman" w:hAnsi="Times New Roman" w:cs="Times New Roman"/>
          <w:sz w:val="24"/>
          <w:szCs w:val="24"/>
        </w:rPr>
        <w:t xml:space="preserve">předchozích </w:t>
      </w:r>
      <w:r w:rsidRPr="00BB4EA3" w:rsidR="007016D1">
        <w:rPr>
          <w:rFonts w:ascii="Times New Roman" w:hAnsi="Times New Roman" w:cs="Times New Roman"/>
          <w:sz w:val="24"/>
          <w:szCs w:val="24"/>
        </w:rPr>
        <w:t xml:space="preserve">diskusí </w:t>
      </w:r>
      <w:r w:rsidRPr="00BB4EA3" w:rsidR="00736B71">
        <w:rPr>
          <w:rFonts w:ascii="Times New Roman" w:hAnsi="Times New Roman" w:cs="Times New Roman"/>
          <w:sz w:val="24"/>
          <w:szCs w:val="24"/>
        </w:rPr>
        <w:t xml:space="preserve">o Koncepci </w:t>
      </w:r>
      <w:r w:rsidRPr="00BB4EA3" w:rsidR="007016D1">
        <w:rPr>
          <w:rFonts w:ascii="Times New Roman" w:hAnsi="Times New Roman" w:cs="Times New Roman"/>
          <w:sz w:val="24"/>
          <w:szCs w:val="24"/>
        </w:rPr>
        <w:t>vyplynulo, že toto opatření by nemělo znamenat cenovou regulaci. Snahou má být případně snížení nákladů na distribuci, což by se mohlo uskutečnit například právě harmonizací investičního dotazníku, jehož vyplnění je časově i administrativně náročné. Původním plánem bylo provést harmonizaci prostřednictvím nařízení vlády, nicméně ukázalo se, že jednotná podoba dotazníku by nemusela být v každém případě vhodná. Proto bylo rozhodnuto o tom, že</w:t>
      </w:r>
      <w:r w:rsidR="001C2CD4">
        <w:rPr>
          <w:rFonts w:ascii="Times New Roman" w:hAnsi="Times New Roman" w:cs="Times New Roman"/>
          <w:sz w:val="24"/>
          <w:szCs w:val="24"/>
        </w:rPr>
        <w:t> </w:t>
      </w:r>
      <w:r w:rsidRPr="00BB4EA3" w:rsidR="007016D1">
        <w:rPr>
          <w:rFonts w:ascii="Times New Roman" w:hAnsi="Times New Roman" w:cs="Times New Roman"/>
          <w:sz w:val="24"/>
          <w:szCs w:val="24"/>
        </w:rPr>
        <w:t>případná harmonizace by měla proběhnout nelegislativní formou, například v podobě doporučení. V budoucnu se očekávají další diskuse na toto téma</w:t>
      </w:r>
      <w:r w:rsidRPr="00BB4EA3" w:rsidR="00736B71">
        <w:rPr>
          <w:rFonts w:ascii="Times New Roman" w:hAnsi="Times New Roman" w:cs="Times New Roman"/>
          <w:sz w:val="24"/>
          <w:szCs w:val="24"/>
        </w:rPr>
        <w:t>, kdy v původní konzultaci byly řešeny pouze otázky averze k riziku a investičního horizontu, nikoli otázky týkající se znalostí a zkušeností</w:t>
      </w:r>
      <w:r w:rsidRPr="00BB4EA3" w:rsidR="007016D1">
        <w:rPr>
          <w:rFonts w:ascii="Times New Roman" w:hAnsi="Times New Roman" w:cs="Times New Roman"/>
          <w:sz w:val="24"/>
          <w:szCs w:val="24"/>
        </w:rPr>
        <w:t>.</w:t>
      </w:r>
    </w:p>
    <w:p w:rsidR="007016D1" w:rsidRPr="00BB4EA3" w:rsidP="00867155">
      <w:pPr>
        <w:spacing w:before="120" w:after="120" w:line="240" w:lineRule="auto"/>
        <w:jc w:val="center"/>
        <w:rPr>
          <w:rFonts w:ascii="Times New Roman" w:hAnsi="Times New Roman" w:cs="Times New Roman"/>
          <w:b/>
          <w:bCs/>
          <w:i/>
          <w:sz w:val="24"/>
          <w:szCs w:val="24"/>
        </w:rPr>
      </w:pPr>
      <w:r w:rsidRPr="00BB4EA3">
        <w:rPr>
          <w:rFonts w:ascii="Times New Roman" w:hAnsi="Times New Roman" w:cs="Times New Roman"/>
          <w:b/>
          <w:bCs/>
          <w:i/>
          <w:sz w:val="24"/>
          <w:szCs w:val="24"/>
        </w:rPr>
        <w:t>3) Vzdělávání drobných investorů a investičních poradců o kapitálovém trhu</w:t>
      </w:r>
    </w:p>
    <w:tbl>
      <w:tblPr>
        <w:tblStyle w:val="Mkatabulky3"/>
        <w:tblpPr w:leftFromText="141" w:rightFromText="141" w:vertAnchor="text" w:horzAnchor="margin" w:tblpY="57"/>
        <w:tblW w:w="9180" w:type="dxa"/>
        <w:shd w:val="solid" w:color="auto" w:fill="auto"/>
        <w:tblLayout w:type="fixed"/>
        <w:tblLook w:val="04A0"/>
      </w:tblPr>
      <w:tblGrid>
        <w:gridCol w:w="5353"/>
        <w:gridCol w:w="2693"/>
        <w:gridCol w:w="1134"/>
      </w:tblGrid>
      <w:tr w:rsidTr="003366B3">
        <w:tblPrEx>
          <w:tblW w:w="9180" w:type="dxa"/>
          <w:shd w:val="solid" w:color="auto" w:fill="auto"/>
          <w:tblLayout w:type="fixed"/>
          <w:tblLook w:val="04A0"/>
        </w:tblPrEx>
        <w:tc>
          <w:tcPr>
            <w:tcW w:w="5353" w:type="dxa"/>
            <w:shd w:val="clear" w:color="auto" w:fill="002060"/>
          </w:tcPr>
          <w:p w:rsidR="003366B3" w:rsidRPr="00BB4EA3" w:rsidP="003366B3">
            <w:pPr>
              <w:jc w:val="center"/>
              <w:rPr>
                <w:rFonts w:ascii="Times New Roman" w:hAnsi="Times New Roman" w:cs="Times New Roman"/>
              </w:rPr>
            </w:pPr>
            <w:r w:rsidRPr="00BB4EA3">
              <w:rPr>
                <w:rFonts w:ascii="Times New Roman" w:hAnsi="Times New Roman" w:cs="Times New Roman"/>
              </w:rPr>
              <w:t>PLÁN</w:t>
            </w:r>
          </w:p>
        </w:tc>
        <w:tc>
          <w:tcPr>
            <w:tcW w:w="2693" w:type="dxa"/>
            <w:shd w:val="clear" w:color="auto" w:fill="002060"/>
          </w:tcPr>
          <w:p w:rsidR="003366B3" w:rsidRPr="00BB4EA3" w:rsidP="003366B3">
            <w:pPr>
              <w:jc w:val="center"/>
              <w:rPr>
                <w:rFonts w:ascii="Times New Roman" w:hAnsi="Times New Roman" w:cs="Times New Roman"/>
              </w:rPr>
            </w:pPr>
            <w:r w:rsidRPr="00BB4EA3">
              <w:rPr>
                <w:rFonts w:ascii="Times New Roman" w:hAnsi="Times New Roman" w:cs="Times New Roman"/>
              </w:rPr>
              <w:t>DOTČENÉ SUBJEKTY</w:t>
            </w:r>
          </w:p>
        </w:tc>
        <w:tc>
          <w:tcPr>
            <w:tcW w:w="1134" w:type="dxa"/>
            <w:shd w:val="clear" w:color="auto" w:fill="002060"/>
          </w:tcPr>
          <w:p w:rsidR="003366B3" w:rsidRPr="00BB4EA3" w:rsidP="003366B3">
            <w:pPr>
              <w:jc w:val="center"/>
              <w:rPr>
                <w:rFonts w:ascii="Times New Roman" w:hAnsi="Times New Roman" w:cs="Times New Roman"/>
              </w:rPr>
            </w:pPr>
            <w:r w:rsidRPr="00BB4EA3">
              <w:rPr>
                <w:rFonts w:ascii="Times New Roman" w:hAnsi="Times New Roman" w:cs="Times New Roman"/>
              </w:rPr>
              <w:t>TERMÍN</w:t>
            </w:r>
          </w:p>
        </w:tc>
      </w:tr>
      <w:tr w:rsidTr="003366B3">
        <w:tblPrEx>
          <w:tblW w:w="9180" w:type="dxa"/>
          <w:shd w:val="solid" w:color="auto" w:fill="auto"/>
          <w:tblLayout w:type="fixed"/>
          <w:tblLook w:val="04A0"/>
        </w:tblPrEx>
        <w:tc>
          <w:tcPr>
            <w:tcW w:w="5353" w:type="dxa"/>
            <w:shd w:val="clear" w:color="auto" w:fill="auto"/>
          </w:tcPr>
          <w:p w:rsidR="003366B3" w:rsidRPr="00867155" w:rsidP="003366B3">
            <w:pPr>
              <w:rPr>
                <w:rFonts w:ascii="Times New Roman" w:hAnsi="Times New Roman" w:cs="Times New Roman"/>
                <w:sz w:val="20"/>
                <w:szCs w:val="20"/>
              </w:rPr>
            </w:pPr>
            <w:r w:rsidRPr="00867155">
              <w:rPr>
                <w:rFonts w:ascii="Times New Roman" w:hAnsi="Times New Roman" w:cs="Times New Roman"/>
                <w:sz w:val="20"/>
                <w:szCs w:val="20"/>
              </w:rPr>
              <w:t>Zohlednit v rámci revize Národní strategie finančního vzdělávání i téma kapitálových trhů a dlouhodobých investic pro domácnosti hospodařící s přebytkem</w:t>
            </w:r>
          </w:p>
        </w:tc>
        <w:tc>
          <w:tcPr>
            <w:tcW w:w="2693" w:type="dxa"/>
            <w:shd w:val="clear" w:color="auto" w:fill="auto"/>
          </w:tcPr>
          <w:p w:rsidR="003366B3" w:rsidRPr="00867155" w:rsidP="003366B3">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3366B3" w:rsidRPr="00867155" w:rsidP="003366B3">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r w:rsidTr="003366B3">
        <w:tblPrEx>
          <w:tblW w:w="9180" w:type="dxa"/>
          <w:shd w:val="solid" w:color="auto" w:fill="auto"/>
          <w:tblLayout w:type="fixed"/>
          <w:tblLook w:val="04A0"/>
        </w:tblPrEx>
        <w:tc>
          <w:tcPr>
            <w:tcW w:w="5353" w:type="dxa"/>
            <w:shd w:val="clear" w:color="auto" w:fill="auto"/>
          </w:tcPr>
          <w:p w:rsidR="003366B3" w:rsidRPr="00867155" w:rsidP="003366B3">
            <w:pPr>
              <w:rPr>
                <w:rFonts w:ascii="Times New Roman" w:hAnsi="Times New Roman" w:cs="Times New Roman"/>
                <w:sz w:val="20"/>
                <w:szCs w:val="20"/>
              </w:rPr>
            </w:pPr>
            <w:r w:rsidRPr="00867155">
              <w:rPr>
                <w:rFonts w:ascii="Times New Roman" w:hAnsi="Times New Roman" w:cs="Times New Roman"/>
                <w:sz w:val="20"/>
                <w:szCs w:val="20"/>
              </w:rPr>
              <w:t>Aktivně se zapojovat do aktivit ve vztahu ke zkouškám investičních poradců tak, aby tyto zkoušky co nejlépe plnily svůj účel, tj. aby byly efektivní</w:t>
            </w:r>
          </w:p>
        </w:tc>
        <w:tc>
          <w:tcPr>
            <w:tcW w:w="2693" w:type="dxa"/>
            <w:shd w:val="clear" w:color="auto" w:fill="auto"/>
          </w:tcPr>
          <w:p w:rsidR="003366B3" w:rsidRPr="00867155" w:rsidP="003366B3">
            <w:pPr>
              <w:jc w:val="center"/>
              <w:rPr>
                <w:rFonts w:ascii="Times New Roman" w:hAnsi="Times New Roman" w:cs="Times New Roman"/>
                <w:sz w:val="20"/>
                <w:szCs w:val="20"/>
              </w:rPr>
            </w:pPr>
            <w:r w:rsidRPr="00867155">
              <w:rPr>
                <w:rFonts w:ascii="Times New Roman" w:hAnsi="Times New Roman" w:cs="Times New Roman"/>
                <w:sz w:val="20"/>
                <w:szCs w:val="20"/>
              </w:rPr>
              <w:t xml:space="preserve">MF, EFPA Czech Republic, VŠFS, AKAT, ČBA, ČASF, Masarykova univerzita, </w:t>
            </w:r>
            <w:r w:rsidRPr="00867155">
              <w:rPr>
                <w:rFonts w:ascii="Times New Roman" w:hAnsi="Times New Roman" w:cs="Times New Roman"/>
                <w:sz w:val="20"/>
                <w:szCs w:val="20"/>
              </w:rPr>
              <w:t>Kahnova</w:t>
            </w:r>
            <w:r w:rsidRPr="00867155">
              <w:rPr>
                <w:rFonts w:ascii="Times New Roman" w:hAnsi="Times New Roman" w:cs="Times New Roman"/>
                <w:sz w:val="20"/>
                <w:szCs w:val="20"/>
              </w:rPr>
              <w:t xml:space="preserve"> škola, akreditované instituce (např. VECTOR Certifikace)</w:t>
            </w:r>
          </w:p>
        </w:tc>
        <w:tc>
          <w:tcPr>
            <w:tcW w:w="1134" w:type="dxa"/>
            <w:shd w:val="clear" w:color="auto" w:fill="auto"/>
          </w:tcPr>
          <w:p w:rsidR="003366B3" w:rsidRPr="00867155" w:rsidP="003366B3">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736B71" w:rsidRPr="00BB4EA3" w:rsidP="00867155">
      <w:pPr>
        <w:spacing w:before="120" w:after="120" w:line="240" w:lineRule="auto"/>
        <w:jc w:val="both"/>
        <w:rPr>
          <w:rFonts w:ascii="Times New Roman" w:hAnsi="Times New Roman" w:cs="Times New Roman"/>
          <w:bCs/>
          <w:sz w:val="24"/>
          <w:szCs w:val="24"/>
        </w:rPr>
      </w:pPr>
      <w:r w:rsidRPr="00BB4EA3">
        <w:rPr>
          <w:rFonts w:ascii="Times New Roman" w:hAnsi="Times New Roman" w:cs="Times New Roman"/>
          <w:bCs/>
          <w:sz w:val="24"/>
          <w:szCs w:val="24"/>
        </w:rPr>
        <w:t xml:space="preserve">Vláda dne 13. </w:t>
      </w:r>
      <w:r w:rsidR="00D33478">
        <w:rPr>
          <w:rFonts w:ascii="Times New Roman" w:hAnsi="Times New Roman" w:cs="Times New Roman"/>
          <w:bCs/>
          <w:sz w:val="24"/>
          <w:szCs w:val="24"/>
        </w:rPr>
        <w:t xml:space="preserve">1. </w:t>
      </w:r>
      <w:r w:rsidRPr="00BB4EA3">
        <w:rPr>
          <w:rFonts w:ascii="Times New Roman" w:hAnsi="Times New Roman" w:cs="Times New Roman"/>
          <w:bCs/>
          <w:sz w:val="24"/>
          <w:szCs w:val="24"/>
        </w:rPr>
        <w:t>2020 schválila Národní strategii finančního vzdělávání 2.0 (</w:t>
      </w:r>
      <w:r>
        <w:fldChar w:fldCharType="begin"/>
      </w:r>
      <w:r>
        <w:instrText xml:space="preserve"> HYPERLINK "https://financnigramotnost.mfcr.cz/assets/cs/media/PSFV_2020_Narodni-strategie-financniho-vzdelavani-2-0.pdf" </w:instrText>
      </w:r>
      <w:r>
        <w:fldChar w:fldCharType="separate"/>
      </w:r>
      <w:r w:rsidRPr="00BB4EA3">
        <w:rPr>
          <w:rStyle w:val="Hyperlink"/>
          <w:rFonts w:ascii="Times New Roman" w:hAnsi="Times New Roman" w:cs="Times New Roman"/>
          <w:bCs/>
          <w:sz w:val="24"/>
          <w:szCs w:val="24"/>
        </w:rPr>
        <w:t>NSFV 2.0</w:t>
      </w:r>
      <w:r>
        <w:fldChar w:fldCharType="end"/>
      </w:r>
      <w:r w:rsidRPr="007471AF" w:rsidR="00A87492">
        <w:rPr>
          <w:rStyle w:val="Hyperlink"/>
          <w:rFonts w:ascii="Times New Roman" w:hAnsi="Times New Roman" w:cs="Times New Roman"/>
          <w:color w:val="auto"/>
          <w:sz w:val="24"/>
          <w:szCs w:val="24"/>
          <w:u w:val="none"/>
          <w:vertAlign w:val="superscript"/>
        </w:rPr>
        <w:t>30)</w:t>
      </w:r>
      <w:r w:rsidRPr="00BB4EA3" w:rsidR="00236563">
        <w:rPr>
          <w:rFonts w:ascii="Times New Roman" w:hAnsi="Times New Roman" w:cs="Times New Roman"/>
          <w:bCs/>
          <w:sz w:val="24"/>
          <w:szCs w:val="24"/>
        </w:rPr>
        <w:t>)</w:t>
      </w:r>
      <w:r w:rsidRPr="00BB4EA3">
        <w:rPr>
          <w:rFonts w:ascii="Times New Roman" w:hAnsi="Times New Roman" w:cs="Times New Roman"/>
          <w:bCs/>
          <w:sz w:val="24"/>
          <w:szCs w:val="24"/>
        </w:rPr>
        <w:t xml:space="preserve">. </w:t>
      </w:r>
      <w:r w:rsidRPr="00BB4EA3" w:rsidR="0027374F">
        <w:rPr>
          <w:rFonts w:ascii="Times New Roman" w:hAnsi="Times New Roman" w:cs="Times New Roman"/>
          <w:bCs/>
          <w:sz w:val="24"/>
          <w:szCs w:val="24"/>
        </w:rPr>
        <w:t>Ačkoli došlo k rozšíření</w:t>
      </w:r>
      <w:r w:rsidRPr="00BB4EA3" w:rsidR="00236563">
        <w:rPr>
          <w:rFonts w:ascii="Times New Roman" w:hAnsi="Times New Roman" w:cs="Times New Roman"/>
          <w:bCs/>
          <w:sz w:val="24"/>
          <w:szCs w:val="24"/>
        </w:rPr>
        <w:t xml:space="preserve"> záběru finančního vzdělávání o </w:t>
      </w:r>
      <w:r w:rsidRPr="00BB4EA3" w:rsidR="0027374F">
        <w:rPr>
          <w:rFonts w:ascii="Times New Roman" w:hAnsi="Times New Roman" w:cs="Times New Roman"/>
          <w:bCs/>
          <w:sz w:val="24"/>
          <w:szCs w:val="24"/>
        </w:rPr>
        <w:t>vybrané skupiny dospělé populace, zaměřuje se NSFV 2.0 zejména na sociálně ohrožené skupiny, což je mimo jiné dáno jejich zranitelností</w:t>
      </w:r>
      <w:r w:rsidR="00D33478">
        <w:rPr>
          <w:rFonts w:ascii="Times New Roman" w:hAnsi="Times New Roman" w:cs="Times New Roman"/>
          <w:bCs/>
          <w:sz w:val="24"/>
          <w:szCs w:val="24"/>
        </w:rPr>
        <w:t>,</w:t>
      </w:r>
      <w:r w:rsidRPr="00BB4EA3" w:rsidR="00236563">
        <w:rPr>
          <w:rFonts w:ascii="Times New Roman" w:hAnsi="Times New Roman" w:cs="Times New Roman"/>
          <w:bCs/>
          <w:sz w:val="24"/>
          <w:szCs w:val="24"/>
        </w:rPr>
        <w:t xml:space="preserve"> a tudíž vyšší potřebou finančního vzdělávání</w:t>
      </w:r>
      <w:r w:rsidRPr="00BB4EA3" w:rsidR="0027374F">
        <w:rPr>
          <w:rFonts w:ascii="Times New Roman" w:hAnsi="Times New Roman" w:cs="Times New Roman"/>
          <w:bCs/>
          <w:sz w:val="24"/>
          <w:szCs w:val="24"/>
        </w:rPr>
        <w:t xml:space="preserve">. </w:t>
      </w:r>
      <w:r w:rsidRPr="00BB4EA3" w:rsidR="00236563">
        <w:rPr>
          <w:rFonts w:ascii="Times New Roman" w:hAnsi="Times New Roman" w:cs="Times New Roman"/>
          <w:bCs/>
          <w:sz w:val="24"/>
          <w:szCs w:val="24"/>
        </w:rPr>
        <w:t>To neznamená, že by ostatní cílové skupiny neměly být finančně vzdělávány v souladu s</w:t>
      </w:r>
      <w:r w:rsidR="00D33478">
        <w:rPr>
          <w:rFonts w:ascii="Times New Roman" w:hAnsi="Times New Roman" w:cs="Times New Roman"/>
          <w:bCs/>
          <w:sz w:val="24"/>
          <w:szCs w:val="24"/>
        </w:rPr>
        <w:t xml:space="preserve"> touto</w:t>
      </w:r>
      <w:r w:rsidRPr="00BB4EA3" w:rsidR="00236563">
        <w:rPr>
          <w:rFonts w:ascii="Times New Roman" w:hAnsi="Times New Roman" w:cs="Times New Roman"/>
          <w:bCs/>
          <w:sz w:val="24"/>
          <w:szCs w:val="24"/>
        </w:rPr>
        <w:t xml:space="preserve"> </w:t>
      </w:r>
      <w:r w:rsidR="00D33478">
        <w:rPr>
          <w:rFonts w:ascii="Times New Roman" w:hAnsi="Times New Roman" w:cs="Times New Roman"/>
          <w:bCs/>
          <w:sz w:val="24"/>
          <w:szCs w:val="24"/>
        </w:rPr>
        <w:t>s</w:t>
      </w:r>
      <w:r w:rsidRPr="00BB4EA3" w:rsidR="00236563">
        <w:rPr>
          <w:rFonts w:ascii="Times New Roman" w:hAnsi="Times New Roman" w:cs="Times New Roman"/>
          <w:bCs/>
          <w:sz w:val="24"/>
          <w:szCs w:val="24"/>
        </w:rPr>
        <w:t>trategií, pouze se nejedná o</w:t>
      </w:r>
      <w:r w:rsidR="00D33478">
        <w:rPr>
          <w:rFonts w:ascii="Times New Roman" w:hAnsi="Times New Roman" w:cs="Times New Roman"/>
          <w:bCs/>
          <w:sz w:val="24"/>
          <w:szCs w:val="24"/>
        </w:rPr>
        <w:t> </w:t>
      </w:r>
      <w:r w:rsidRPr="00BB4EA3" w:rsidR="00236563">
        <w:rPr>
          <w:rFonts w:ascii="Times New Roman" w:hAnsi="Times New Roman" w:cs="Times New Roman"/>
          <w:bCs/>
          <w:sz w:val="24"/>
          <w:szCs w:val="24"/>
        </w:rPr>
        <w:t xml:space="preserve">skupiny prioritní. Další finanční vzdělávání ostatních cílových skupin zajišťuje převážně soukromý sektor, zejména profesní a spotřebitelská sdružení, neziskové organizace, vzdělávací instituce a média. Snižováním počtu domácností s dluhy dojde k navýšení domácností hospodařících s přebytkem, které jsou schopny vytvářet úspory a mohou investovat na kapitálových trzích. Ve vztahu ke </w:t>
      </w:r>
      <w:r>
        <w:fldChar w:fldCharType="begin"/>
      </w:r>
      <w:r>
        <w:instrText xml:space="preserve"> HYPERLINK "https://www.cnb.cz/cs/dohled-financni-trh/vykon-dohledu/povolovaci-a-schvalovaci-rizeni/povolovaci-a-schvalovaci-rizeni-obchodnici-s-cennymi-papiry-investicni-zprostredkovatele/zkousky-dle-zakona-c.-256-2004-sb.-o-podnikani-na-kapitalovem-trhu-ve-zneni-pozdejsich-predpisu/" </w:instrText>
      </w:r>
      <w:r>
        <w:fldChar w:fldCharType="separate"/>
      </w:r>
      <w:r w:rsidRPr="00BB4EA3" w:rsidR="00236563">
        <w:rPr>
          <w:rStyle w:val="Hyperlink"/>
          <w:rFonts w:ascii="Times New Roman" w:hAnsi="Times New Roman" w:cs="Times New Roman"/>
          <w:bCs/>
          <w:sz w:val="24"/>
          <w:szCs w:val="24"/>
        </w:rPr>
        <w:t>zkouškám investičních poradců</w:t>
      </w:r>
      <w:r>
        <w:fldChar w:fldCharType="end"/>
      </w:r>
      <w:r w:rsidRPr="007471AF" w:rsidR="00A87492">
        <w:rPr>
          <w:rStyle w:val="Hyperlink"/>
          <w:rFonts w:ascii="Times New Roman" w:hAnsi="Times New Roman" w:cs="Times New Roman"/>
          <w:color w:val="auto"/>
          <w:sz w:val="24"/>
          <w:szCs w:val="24"/>
          <w:u w:val="none"/>
          <w:vertAlign w:val="superscript"/>
        </w:rPr>
        <w:t>31)</w:t>
      </w:r>
      <w:r w:rsidRPr="00BB4EA3" w:rsidR="00236563">
        <w:rPr>
          <w:rFonts w:ascii="Times New Roman" w:hAnsi="Times New Roman" w:cs="Times New Roman"/>
          <w:bCs/>
          <w:sz w:val="24"/>
          <w:szCs w:val="24"/>
        </w:rPr>
        <w:t xml:space="preserve"> </w:t>
      </w:r>
      <w:r w:rsidRPr="00BB4EA3" w:rsidR="0086156A">
        <w:rPr>
          <w:rFonts w:ascii="Times New Roman" w:hAnsi="Times New Roman" w:cs="Times New Roman"/>
          <w:bCs/>
          <w:sz w:val="24"/>
          <w:szCs w:val="24"/>
        </w:rPr>
        <w:t>skončilo 3.</w:t>
      </w:r>
      <w:r w:rsidR="007F1D5C">
        <w:rPr>
          <w:rFonts w:ascii="Times New Roman" w:hAnsi="Times New Roman" w:cs="Times New Roman"/>
          <w:bCs/>
          <w:sz w:val="24"/>
          <w:szCs w:val="24"/>
        </w:rPr>
        <w:t> 1. </w:t>
      </w:r>
      <w:r w:rsidRPr="00BB4EA3" w:rsidR="0086156A">
        <w:rPr>
          <w:rFonts w:ascii="Times New Roman" w:hAnsi="Times New Roman" w:cs="Times New Roman"/>
          <w:bCs/>
          <w:sz w:val="24"/>
          <w:szCs w:val="24"/>
        </w:rPr>
        <w:t xml:space="preserve">2020 přechodné období, které umožňovalo odbornou </w:t>
      </w:r>
      <w:r w:rsidRPr="00BB4EA3" w:rsidR="005F5026">
        <w:rPr>
          <w:rFonts w:ascii="Times New Roman" w:hAnsi="Times New Roman" w:cs="Times New Roman"/>
          <w:bCs/>
          <w:sz w:val="24"/>
          <w:szCs w:val="24"/>
        </w:rPr>
        <w:t>zkoušku nahradit čestným prohlášením. V současné době tak musí mít všichni investiční poradci odbornou zkoušku v</w:t>
      </w:r>
      <w:r w:rsidR="007F1D5C">
        <w:rPr>
          <w:rFonts w:ascii="Times New Roman" w:hAnsi="Times New Roman" w:cs="Times New Roman"/>
          <w:bCs/>
          <w:sz w:val="24"/>
          <w:szCs w:val="24"/>
        </w:rPr>
        <w:t> </w:t>
      </w:r>
      <w:r w:rsidRPr="00BB4EA3" w:rsidR="005F5026">
        <w:rPr>
          <w:rFonts w:ascii="Times New Roman" w:hAnsi="Times New Roman" w:cs="Times New Roman"/>
          <w:bCs/>
          <w:sz w:val="24"/>
          <w:szCs w:val="24"/>
        </w:rPr>
        <w:t xml:space="preserve">oblasti kapitálového trhu. MF </w:t>
      </w:r>
      <w:r w:rsidR="00894D70">
        <w:rPr>
          <w:rFonts w:ascii="Times New Roman" w:hAnsi="Times New Roman" w:cs="Times New Roman"/>
          <w:bCs/>
          <w:sz w:val="24"/>
          <w:szCs w:val="24"/>
        </w:rPr>
        <w:t>i ČNB se aktivně zapojoval</w:t>
      </w:r>
      <w:r w:rsidR="007F1D5C">
        <w:rPr>
          <w:rFonts w:ascii="Times New Roman" w:hAnsi="Times New Roman" w:cs="Times New Roman"/>
          <w:bCs/>
          <w:sz w:val="24"/>
          <w:szCs w:val="24"/>
        </w:rPr>
        <w:t>y</w:t>
      </w:r>
      <w:r w:rsidR="00894D70">
        <w:rPr>
          <w:rFonts w:ascii="Times New Roman" w:hAnsi="Times New Roman" w:cs="Times New Roman"/>
          <w:bCs/>
          <w:sz w:val="24"/>
          <w:szCs w:val="24"/>
        </w:rPr>
        <w:t xml:space="preserve"> do </w:t>
      </w:r>
      <w:r w:rsidRPr="00BB4EA3" w:rsidR="005F5026">
        <w:rPr>
          <w:rFonts w:ascii="Times New Roman" w:hAnsi="Times New Roman" w:cs="Times New Roman"/>
          <w:bCs/>
          <w:sz w:val="24"/>
          <w:szCs w:val="24"/>
        </w:rPr>
        <w:t>připomínkování zkouškových otázek a řešil</w:t>
      </w:r>
      <w:r w:rsidR="007F1D5C">
        <w:rPr>
          <w:rFonts w:ascii="Times New Roman" w:hAnsi="Times New Roman" w:cs="Times New Roman"/>
          <w:bCs/>
          <w:sz w:val="24"/>
          <w:szCs w:val="24"/>
        </w:rPr>
        <w:t>y</w:t>
      </w:r>
      <w:r w:rsidRPr="00BB4EA3" w:rsidR="005F5026">
        <w:rPr>
          <w:rFonts w:ascii="Times New Roman" w:hAnsi="Times New Roman" w:cs="Times New Roman"/>
          <w:bCs/>
          <w:sz w:val="24"/>
          <w:szCs w:val="24"/>
        </w:rPr>
        <w:t xml:space="preserve"> připomínky sloužící k aktualizaci těchto otázek.</w:t>
      </w:r>
    </w:p>
    <w:p w:rsidR="00736B71" w:rsidRPr="00BB4EA3" w:rsidP="00867155">
      <w:pPr>
        <w:spacing w:before="120" w:after="120" w:line="240" w:lineRule="auto"/>
        <w:jc w:val="center"/>
        <w:rPr>
          <w:rFonts w:ascii="Times New Roman" w:hAnsi="Times New Roman" w:cs="Times New Roman"/>
          <w:b/>
          <w:bCs/>
          <w:i/>
          <w:sz w:val="24"/>
          <w:szCs w:val="24"/>
        </w:rPr>
      </w:pPr>
      <w:r w:rsidRPr="00BB4EA3">
        <w:rPr>
          <w:rFonts w:ascii="Times New Roman" w:hAnsi="Times New Roman" w:cs="Times New Roman"/>
          <w:b/>
          <w:bCs/>
          <w:i/>
          <w:sz w:val="24"/>
          <w:szCs w:val="24"/>
        </w:rPr>
        <w:t>4) Vytvoření webového centra (rozcestníku) informací o cenných papírech a jejich emitentech</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021BB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021BB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021BB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ayout w:type="fixed"/>
          <w:tblLook w:val="04A0"/>
        </w:tblPrEx>
        <w:tc>
          <w:tcPr>
            <w:tcW w:w="5353" w:type="dxa"/>
            <w:shd w:val="clear" w:color="auto" w:fill="auto"/>
          </w:tcPr>
          <w:p w:rsidR="00021BBB" w:rsidRPr="00867155" w:rsidP="00820E67">
            <w:pPr>
              <w:rPr>
                <w:rFonts w:ascii="Times New Roman" w:hAnsi="Times New Roman" w:cs="Times New Roman"/>
                <w:sz w:val="20"/>
                <w:szCs w:val="20"/>
              </w:rPr>
            </w:pPr>
            <w:r w:rsidRPr="00867155">
              <w:rPr>
                <w:rFonts w:ascii="Times New Roman" w:hAnsi="Times New Roman" w:cs="Times New Roman"/>
                <w:sz w:val="20"/>
                <w:szCs w:val="20"/>
              </w:rPr>
              <w:t>Vytvořit webový rozcestník informací o cenných papírech a jejich emitentech</w:t>
            </w:r>
          </w:p>
        </w:tc>
        <w:tc>
          <w:tcPr>
            <w:tcW w:w="2693" w:type="dxa"/>
            <w:shd w:val="clear" w:color="auto" w:fill="auto"/>
          </w:tcPr>
          <w:p w:rsidR="00021BB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021BB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2020</w:t>
            </w:r>
          </w:p>
        </w:tc>
      </w:tr>
    </w:tbl>
    <w:p w:rsidR="00021BBB" w:rsidRPr="00BB4EA3" w:rsidP="00867155">
      <w:pPr>
        <w:spacing w:before="120"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Webový rozcestník byl publikován </w:t>
      </w:r>
      <w:r>
        <w:fldChar w:fldCharType="begin"/>
      </w:r>
      <w:r>
        <w:instrText xml:space="preserve"> HYPERLINK "https://www.mfcr.cz/cs/soukromy-sektor/kapitalovy-trh/zakladni-informace" \l "rozcestnik" </w:instrText>
      </w:r>
      <w:r>
        <w:fldChar w:fldCharType="separate"/>
      </w:r>
      <w:r w:rsidRPr="00BB4EA3">
        <w:rPr>
          <w:rStyle w:val="Hyperlink"/>
          <w:rFonts w:ascii="Times New Roman" w:hAnsi="Times New Roman" w:cs="Times New Roman"/>
          <w:sz w:val="24"/>
          <w:szCs w:val="24"/>
        </w:rPr>
        <w:t>na webu MF</w:t>
      </w:r>
      <w:r>
        <w:fldChar w:fldCharType="end"/>
      </w:r>
      <w:r w:rsidRPr="007471AF" w:rsidR="00A87492">
        <w:rPr>
          <w:rStyle w:val="Hyperlink"/>
          <w:rFonts w:ascii="Times New Roman" w:hAnsi="Times New Roman" w:cs="Times New Roman"/>
          <w:color w:val="auto"/>
          <w:sz w:val="24"/>
          <w:szCs w:val="24"/>
          <w:u w:val="none"/>
          <w:vertAlign w:val="superscript"/>
        </w:rPr>
        <w:t>32)</w:t>
      </w:r>
      <w:r w:rsidRPr="00BB4EA3">
        <w:rPr>
          <w:rFonts w:ascii="Times New Roman" w:hAnsi="Times New Roman" w:cs="Times New Roman"/>
          <w:sz w:val="24"/>
          <w:szCs w:val="24"/>
        </w:rPr>
        <w:t xml:space="preserve"> v lednu 2020</w:t>
      </w:r>
      <w:r w:rsidR="007F1D5C">
        <w:rPr>
          <w:rFonts w:ascii="Times New Roman" w:hAnsi="Times New Roman" w:cs="Times New Roman"/>
          <w:sz w:val="24"/>
          <w:szCs w:val="24"/>
        </w:rPr>
        <w:t>. J</w:t>
      </w:r>
      <w:r w:rsidRPr="00BB4EA3">
        <w:rPr>
          <w:rFonts w:ascii="Times New Roman" w:hAnsi="Times New Roman" w:cs="Times New Roman"/>
          <w:sz w:val="24"/>
          <w:szCs w:val="24"/>
        </w:rPr>
        <w:t xml:space="preserve">eho obsah </w:t>
      </w:r>
      <w:r w:rsidR="007F1D5C">
        <w:rPr>
          <w:rFonts w:ascii="Times New Roman" w:hAnsi="Times New Roman" w:cs="Times New Roman"/>
          <w:sz w:val="24"/>
          <w:szCs w:val="24"/>
        </w:rPr>
        <w:t xml:space="preserve">byl </w:t>
      </w:r>
      <w:r w:rsidRPr="00BB4EA3">
        <w:rPr>
          <w:rFonts w:ascii="Times New Roman" w:hAnsi="Times New Roman" w:cs="Times New Roman"/>
          <w:sz w:val="24"/>
          <w:szCs w:val="24"/>
        </w:rPr>
        <w:t xml:space="preserve">součástí veřejné konzultace v srpnu 2019. </w:t>
      </w:r>
      <w:r w:rsidRPr="00BB4EA3" w:rsidR="003A5DE3">
        <w:rPr>
          <w:rFonts w:ascii="Times New Roman" w:hAnsi="Times New Roman" w:cs="Times New Roman"/>
          <w:sz w:val="24"/>
          <w:szCs w:val="24"/>
        </w:rPr>
        <w:t xml:space="preserve">Odkazy směřují zejména na již dostupné a aktualizované informace. Výhodou je zejména existence tohoto rozcestníku </w:t>
      </w:r>
      <w:r>
        <w:fldChar w:fldCharType="begin"/>
      </w:r>
      <w:r>
        <w:instrText xml:space="preserve"> HYPERLINK "https://www.mfcr.cz/en/themes/capital-market/basic-information" </w:instrText>
      </w:r>
      <w:r>
        <w:fldChar w:fldCharType="separate"/>
      </w:r>
      <w:r w:rsidRPr="00BB4EA3" w:rsidR="003A5DE3">
        <w:rPr>
          <w:rStyle w:val="Hyperlink"/>
          <w:rFonts w:ascii="Times New Roman" w:hAnsi="Times New Roman" w:cs="Times New Roman"/>
          <w:sz w:val="24"/>
          <w:szCs w:val="24"/>
        </w:rPr>
        <w:t>v anglickém jazyce</w:t>
      </w:r>
      <w:r>
        <w:fldChar w:fldCharType="end"/>
      </w:r>
      <w:r w:rsidRPr="007471AF" w:rsidR="00A87492">
        <w:rPr>
          <w:rStyle w:val="Hyperlink"/>
          <w:rFonts w:ascii="Times New Roman" w:hAnsi="Times New Roman" w:cs="Times New Roman"/>
          <w:color w:val="auto"/>
          <w:sz w:val="24"/>
          <w:szCs w:val="24"/>
          <w:u w:val="none"/>
          <w:vertAlign w:val="superscript"/>
        </w:rPr>
        <w:t>33)</w:t>
      </w:r>
      <w:r w:rsidRPr="00BB4EA3" w:rsidR="003A5DE3">
        <w:rPr>
          <w:rFonts w:ascii="Times New Roman" w:hAnsi="Times New Roman" w:cs="Times New Roman"/>
          <w:sz w:val="24"/>
          <w:szCs w:val="24"/>
        </w:rPr>
        <w:t xml:space="preserve">, což umožňuje jeho využití i zahraničními subjekty. Odkazy v anglické verzi většinou </w:t>
      </w:r>
      <w:r w:rsidR="007F1D5C">
        <w:rPr>
          <w:rFonts w:ascii="Times New Roman" w:hAnsi="Times New Roman" w:cs="Times New Roman"/>
          <w:sz w:val="24"/>
          <w:szCs w:val="24"/>
        </w:rPr>
        <w:t xml:space="preserve">směřují </w:t>
      </w:r>
      <w:r w:rsidRPr="00BB4EA3" w:rsidR="003A5DE3">
        <w:rPr>
          <w:rFonts w:ascii="Times New Roman" w:hAnsi="Times New Roman" w:cs="Times New Roman"/>
          <w:sz w:val="24"/>
          <w:szCs w:val="24"/>
        </w:rPr>
        <w:t>na anglickou verzi webů, nicméně díky neustále se vylepšujícímu strojovému překladu mohou být pro zahraniční uživatele užitečné i weby, které jsou pouze v českém jazyce.</w:t>
      </w:r>
      <w:r w:rsidR="00894D70">
        <w:rPr>
          <w:rFonts w:ascii="Times New Roman" w:hAnsi="Times New Roman" w:cs="Times New Roman"/>
          <w:sz w:val="24"/>
          <w:szCs w:val="24"/>
        </w:rPr>
        <w:t xml:space="preserve"> Ve </w:t>
      </w:r>
      <w:r w:rsidRPr="00BB4EA3" w:rsidR="00E05038">
        <w:rPr>
          <w:rFonts w:ascii="Times New Roman" w:hAnsi="Times New Roman" w:cs="Times New Roman"/>
          <w:sz w:val="24"/>
          <w:szCs w:val="24"/>
        </w:rPr>
        <w:t>vztahu k</w:t>
      </w:r>
      <w:r w:rsidR="007F1D5C">
        <w:rPr>
          <w:rFonts w:ascii="Times New Roman" w:hAnsi="Times New Roman" w:cs="Times New Roman"/>
          <w:sz w:val="24"/>
          <w:szCs w:val="24"/>
        </w:rPr>
        <w:t> </w:t>
      </w:r>
      <w:r w:rsidRPr="00BB4EA3" w:rsidR="00E05038">
        <w:rPr>
          <w:rFonts w:ascii="Times New Roman" w:hAnsi="Times New Roman" w:cs="Times New Roman"/>
          <w:sz w:val="24"/>
          <w:szCs w:val="24"/>
        </w:rPr>
        <w:t xml:space="preserve">obchodnímu rejstříku obsahuje webový rozcestník i stručný návod, jakým způsobem lze dohledat relevantní informace. Nevýhodou mohou být dokumenty, které nejsou dostupné ve strojově čitelném formátu (např. naskenované PDF), protože takové dokumenty nelze strojově přeložit. Nicméně MF publikovalo </w:t>
      </w:r>
      <w:r>
        <w:fldChar w:fldCharType="begin"/>
      </w:r>
      <w:r>
        <w:instrText xml:space="preserve"> HYPERLINK "https://www.mfcr.cz/assets/en/media/2020-EN-Orientation-in-the-Czech-financial-statements-1-0.pdf" </w:instrText>
      </w:r>
      <w:r>
        <w:fldChar w:fldCharType="separate"/>
      </w:r>
      <w:r w:rsidRPr="00BB4EA3" w:rsidR="00E05038">
        <w:rPr>
          <w:rStyle w:val="Hyperlink"/>
          <w:rFonts w:ascii="Times New Roman" w:hAnsi="Times New Roman" w:cs="Times New Roman"/>
          <w:sz w:val="24"/>
          <w:szCs w:val="24"/>
        </w:rPr>
        <w:t>návod na čtení českých finančních výkazů</w:t>
      </w:r>
      <w:r>
        <w:fldChar w:fldCharType="end"/>
      </w:r>
      <w:r w:rsidRPr="007471AF" w:rsidR="00A87492">
        <w:rPr>
          <w:rStyle w:val="Hyperlink"/>
          <w:rFonts w:ascii="Times New Roman" w:hAnsi="Times New Roman" w:cs="Times New Roman"/>
          <w:color w:val="auto"/>
          <w:sz w:val="24"/>
          <w:szCs w:val="24"/>
          <w:u w:val="none"/>
          <w:vertAlign w:val="superscript"/>
        </w:rPr>
        <w:t>34)</w:t>
      </w:r>
      <w:r w:rsidRPr="00BB4EA3" w:rsidR="00E05038">
        <w:rPr>
          <w:rFonts w:ascii="Times New Roman" w:hAnsi="Times New Roman" w:cs="Times New Roman"/>
          <w:sz w:val="24"/>
          <w:szCs w:val="24"/>
        </w:rPr>
        <w:t xml:space="preserve"> v anglickém jazyce, který může pomoci alespoň při čtení účetních závěrek. Výroční zprávy jsou pak často prezentovány ve formátu PDF, který lze strojově přečíst. Do budoucna lze očekávat, že více informací bude ve strojově čitelném formátu, například kótovaní emitenti mají od roku 2021 povinnost uveřejňovat své výroční zprávy (včetně účetní závěrky) ve formátu XHTML.</w:t>
      </w:r>
    </w:p>
    <w:p w:rsidR="00B13B77" w:rsidRPr="00BB4EA3" w:rsidP="00867155">
      <w:pPr>
        <w:spacing w:before="120" w:after="120" w:line="240" w:lineRule="auto"/>
        <w:jc w:val="center"/>
        <w:rPr>
          <w:rFonts w:ascii="Times New Roman" w:hAnsi="Times New Roman" w:cs="Times New Roman"/>
          <w:b/>
          <w:bCs/>
          <w:i/>
          <w:sz w:val="24"/>
          <w:szCs w:val="24"/>
        </w:rPr>
      </w:pPr>
      <w:r w:rsidRPr="00BB4EA3">
        <w:rPr>
          <w:rFonts w:ascii="Times New Roman" w:hAnsi="Times New Roman" w:cs="Times New Roman"/>
          <w:b/>
          <w:bCs/>
          <w:i/>
          <w:sz w:val="24"/>
          <w:szCs w:val="24"/>
        </w:rPr>
        <w:t>5) Analýza dostupnosti měnového zajištění</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B13B77"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B13B77"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B13B77"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ayout w:type="fixed"/>
          <w:tblLook w:val="04A0"/>
        </w:tblPrEx>
        <w:tc>
          <w:tcPr>
            <w:tcW w:w="5353" w:type="dxa"/>
            <w:shd w:val="clear" w:color="auto" w:fill="auto"/>
          </w:tcPr>
          <w:p w:rsidR="00B13B77" w:rsidRPr="00867155" w:rsidP="00820E67">
            <w:pPr>
              <w:rPr>
                <w:rFonts w:ascii="Times New Roman" w:hAnsi="Times New Roman" w:cs="Times New Roman"/>
                <w:sz w:val="20"/>
                <w:szCs w:val="20"/>
              </w:rPr>
            </w:pPr>
            <w:r w:rsidRPr="00867155">
              <w:rPr>
                <w:rFonts w:ascii="Times New Roman" w:hAnsi="Times New Roman" w:cs="Times New Roman"/>
                <w:sz w:val="20"/>
                <w:szCs w:val="20"/>
              </w:rPr>
              <w:t>Identifikovat a odstraňovat překážky dostupnosti měnového zajištění (</w:t>
            </w:r>
            <w:r w:rsidRPr="00867155">
              <w:rPr>
                <w:rFonts w:ascii="Times New Roman" w:hAnsi="Times New Roman" w:cs="Times New Roman"/>
                <w:i/>
                <w:sz w:val="20"/>
                <w:szCs w:val="20"/>
              </w:rPr>
              <w:t>hedging</w:t>
            </w:r>
            <w:r w:rsidRPr="00867155">
              <w:rPr>
                <w:rFonts w:ascii="Times New Roman" w:hAnsi="Times New Roman" w:cs="Times New Roman"/>
                <w:sz w:val="20"/>
                <w:szCs w:val="20"/>
              </w:rPr>
              <w:t>) pro investory</w:t>
            </w:r>
          </w:p>
        </w:tc>
        <w:tc>
          <w:tcPr>
            <w:tcW w:w="2693" w:type="dxa"/>
            <w:shd w:val="clear" w:color="auto" w:fill="auto"/>
          </w:tcPr>
          <w:p w:rsidR="00B13B77"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B13B77"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B13B77" w:rsidRPr="00BB4EA3" w:rsidP="00867155">
      <w:pPr>
        <w:spacing w:before="120" w:after="120" w:line="240" w:lineRule="auto"/>
        <w:jc w:val="both"/>
        <w:rPr>
          <w:rFonts w:ascii="Times New Roman" w:hAnsi="Times New Roman" w:cs="Times New Roman"/>
          <w:sz w:val="24"/>
          <w:szCs w:val="24"/>
        </w:rPr>
      </w:pPr>
      <w:r w:rsidRPr="00BB4EA3">
        <w:rPr>
          <w:rFonts w:ascii="Times New Roman" w:hAnsi="Times New Roman" w:cs="Times New Roman"/>
          <w:sz w:val="24"/>
          <w:szCs w:val="24"/>
        </w:rPr>
        <w:t xml:space="preserve">Ve vztahu k dostupnosti měnového zajištění nebyly identifikovány žádné překážky. Lze se domnívat, že doporučení Světové banky se vztahovalo k období, kdy ČNB prováděla měnové intervence a očekával se konec těchto intervencí (v takové situaci </w:t>
      </w:r>
      <w:r w:rsidR="007F28A9">
        <w:rPr>
          <w:rFonts w:ascii="Times New Roman" w:hAnsi="Times New Roman" w:cs="Times New Roman"/>
          <w:sz w:val="24"/>
          <w:szCs w:val="24"/>
        </w:rPr>
        <w:t>mohlo být</w:t>
      </w:r>
      <w:r w:rsidRPr="00BB4EA3">
        <w:rPr>
          <w:rFonts w:ascii="Times New Roman" w:hAnsi="Times New Roman" w:cs="Times New Roman"/>
          <w:sz w:val="24"/>
          <w:szCs w:val="24"/>
        </w:rPr>
        <w:t xml:space="preserve"> měnové zajištění hůře dostupné). V nedávné době bylo naopak možno pozorovat trend, že měnové zajištění bylo způsobem k dosažení dodatečných výnosů, což bylo způsobeno úrokovým diferenciálem mezi státy eurozóny (</w:t>
      </w:r>
      <w:r w:rsidRPr="00BB4EA3" w:rsidR="0063330C">
        <w:rPr>
          <w:rFonts w:ascii="Times New Roman" w:hAnsi="Times New Roman" w:cs="Times New Roman"/>
          <w:sz w:val="24"/>
          <w:szCs w:val="24"/>
        </w:rPr>
        <w:t xml:space="preserve">cca </w:t>
      </w:r>
      <w:r w:rsidRPr="00BB4EA3">
        <w:rPr>
          <w:rFonts w:ascii="Times New Roman" w:hAnsi="Times New Roman" w:cs="Times New Roman"/>
          <w:sz w:val="24"/>
          <w:szCs w:val="24"/>
        </w:rPr>
        <w:t>0 %) a Českou republikou (</w:t>
      </w:r>
      <w:r w:rsidRPr="00BB4EA3" w:rsidR="0063330C">
        <w:rPr>
          <w:rFonts w:ascii="Times New Roman" w:hAnsi="Times New Roman" w:cs="Times New Roman"/>
          <w:sz w:val="24"/>
          <w:szCs w:val="24"/>
        </w:rPr>
        <w:t xml:space="preserve">až </w:t>
      </w:r>
      <w:r w:rsidRPr="00BB4EA3">
        <w:rPr>
          <w:rFonts w:ascii="Times New Roman" w:hAnsi="Times New Roman" w:cs="Times New Roman"/>
          <w:sz w:val="24"/>
          <w:szCs w:val="24"/>
        </w:rPr>
        <w:t xml:space="preserve">2 %). </w:t>
      </w:r>
      <w:r w:rsidRPr="00BB4EA3" w:rsidR="0063330C">
        <w:rPr>
          <w:rFonts w:ascii="Times New Roman" w:hAnsi="Times New Roman" w:cs="Times New Roman"/>
          <w:sz w:val="24"/>
          <w:szCs w:val="24"/>
        </w:rPr>
        <w:t xml:space="preserve">V důsledku opatření proti zmírnění dopadu pandemie COVID-19 však došlo ke snížení </w:t>
      </w:r>
      <w:r>
        <w:fldChar w:fldCharType="begin"/>
      </w:r>
      <w:r>
        <w:instrText xml:space="preserve"> HYPERLINK "https://www.cnb.cz/cs/casto-kladene-dotazy/Jak-se-vyvijela-dvoutydenni-repo-sazba-CNB/" </w:instrText>
      </w:r>
      <w:r>
        <w:fldChar w:fldCharType="separate"/>
      </w:r>
      <w:r w:rsidRPr="00BB4EA3" w:rsidR="0063330C">
        <w:rPr>
          <w:rStyle w:val="Hyperlink"/>
          <w:rFonts w:ascii="Times New Roman" w:hAnsi="Times New Roman" w:cs="Times New Roman"/>
          <w:sz w:val="24"/>
          <w:szCs w:val="24"/>
        </w:rPr>
        <w:t xml:space="preserve">dvoutýdenní </w:t>
      </w:r>
      <w:r w:rsidRPr="00BB4EA3" w:rsidR="0063330C">
        <w:rPr>
          <w:rStyle w:val="Hyperlink"/>
          <w:rFonts w:ascii="Times New Roman" w:hAnsi="Times New Roman" w:cs="Times New Roman"/>
          <w:sz w:val="24"/>
          <w:szCs w:val="24"/>
        </w:rPr>
        <w:t>repo</w:t>
      </w:r>
      <w:r w:rsidRPr="00BB4EA3" w:rsidR="0063330C">
        <w:rPr>
          <w:rStyle w:val="Hyperlink"/>
          <w:rFonts w:ascii="Times New Roman" w:hAnsi="Times New Roman" w:cs="Times New Roman"/>
          <w:sz w:val="24"/>
          <w:szCs w:val="24"/>
        </w:rPr>
        <w:t xml:space="preserve"> sazby ČNB</w:t>
      </w:r>
      <w:r>
        <w:fldChar w:fldCharType="end"/>
      </w:r>
      <w:r w:rsidRPr="007471AF" w:rsidR="00A87492">
        <w:rPr>
          <w:rStyle w:val="Hyperlink"/>
          <w:rFonts w:ascii="Times New Roman" w:hAnsi="Times New Roman" w:cs="Times New Roman"/>
          <w:color w:val="auto"/>
          <w:sz w:val="24"/>
          <w:szCs w:val="24"/>
          <w:u w:val="none"/>
          <w:vertAlign w:val="superscript"/>
        </w:rPr>
        <w:t>35)</w:t>
      </w:r>
      <w:r w:rsidRPr="00BB4EA3" w:rsidR="0063330C">
        <w:rPr>
          <w:rFonts w:ascii="Times New Roman" w:hAnsi="Times New Roman" w:cs="Times New Roman"/>
          <w:sz w:val="24"/>
          <w:szCs w:val="24"/>
        </w:rPr>
        <w:t xml:space="preserve"> v</w:t>
      </w:r>
      <w:r w:rsidR="007F1D5C">
        <w:rPr>
          <w:rFonts w:ascii="Times New Roman" w:hAnsi="Times New Roman" w:cs="Times New Roman"/>
          <w:sz w:val="24"/>
          <w:szCs w:val="24"/>
        </w:rPr>
        <w:t> </w:t>
      </w:r>
      <w:r w:rsidRPr="00BB4EA3" w:rsidR="0063330C">
        <w:rPr>
          <w:rFonts w:ascii="Times New Roman" w:hAnsi="Times New Roman" w:cs="Times New Roman"/>
          <w:sz w:val="24"/>
          <w:szCs w:val="24"/>
        </w:rPr>
        <w:t xml:space="preserve">květnu 2020 na aktuálních 0,25 %. Zajímavé jsou v tomto ohledu </w:t>
      </w:r>
      <w:r w:rsidRPr="00BB4EA3" w:rsidR="00BB4EA3">
        <w:rPr>
          <w:rFonts w:ascii="Times New Roman" w:hAnsi="Times New Roman" w:cs="Times New Roman"/>
          <w:sz w:val="24"/>
          <w:szCs w:val="24"/>
        </w:rPr>
        <w:t xml:space="preserve">duální </w:t>
      </w:r>
      <w:r w:rsidRPr="00BB4EA3" w:rsidR="0063330C">
        <w:rPr>
          <w:rFonts w:ascii="Times New Roman" w:hAnsi="Times New Roman" w:cs="Times New Roman"/>
          <w:sz w:val="24"/>
          <w:szCs w:val="24"/>
        </w:rPr>
        <w:t>listingy</w:t>
      </w:r>
      <w:r w:rsidRPr="00BB4EA3" w:rsidR="0063330C">
        <w:rPr>
          <w:rFonts w:ascii="Times New Roman" w:hAnsi="Times New Roman" w:cs="Times New Roman"/>
          <w:sz w:val="24"/>
          <w:szCs w:val="24"/>
        </w:rPr>
        <w:t xml:space="preserve"> některých </w:t>
      </w:r>
      <w:r>
        <w:fldChar w:fldCharType="begin"/>
      </w:r>
      <w:r>
        <w:instrText xml:space="preserve"> HYPERLINK "https://www.pse.cz/novinky/burza-zahaji-obchodovani-zahranicnich-akcii" </w:instrText>
      </w:r>
      <w:r>
        <w:fldChar w:fldCharType="separate"/>
      </w:r>
      <w:r w:rsidRPr="00BB4EA3" w:rsidR="0063330C">
        <w:rPr>
          <w:rStyle w:val="Hyperlink"/>
          <w:rFonts w:ascii="Times New Roman" w:hAnsi="Times New Roman" w:cs="Times New Roman"/>
          <w:sz w:val="24"/>
          <w:szCs w:val="24"/>
        </w:rPr>
        <w:t>zahraničních emitentů</w:t>
      </w:r>
      <w:r>
        <w:fldChar w:fldCharType="end"/>
      </w:r>
      <w:r w:rsidRPr="007471AF" w:rsidR="00A87492">
        <w:rPr>
          <w:rStyle w:val="Hyperlink"/>
          <w:rFonts w:ascii="Times New Roman" w:hAnsi="Times New Roman" w:cs="Times New Roman"/>
          <w:color w:val="auto"/>
          <w:sz w:val="24"/>
          <w:szCs w:val="24"/>
          <w:u w:val="none"/>
          <w:vertAlign w:val="superscript"/>
        </w:rPr>
        <w:t>36)</w:t>
      </w:r>
      <w:r w:rsidRPr="00BB4EA3" w:rsidR="00BB4EA3">
        <w:rPr>
          <w:rFonts w:ascii="Times New Roman" w:hAnsi="Times New Roman" w:cs="Times New Roman"/>
          <w:sz w:val="24"/>
          <w:szCs w:val="24"/>
        </w:rPr>
        <w:t xml:space="preserve"> na </w:t>
      </w:r>
      <w:r w:rsidR="00B2016E">
        <w:rPr>
          <w:rFonts w:ascii="Times New Roman" w:hAnsi="Times New Roman" w:cs="Times New Roman"/>
          <w:sz w:val="24"/>
          <w:szCs w:val="24"/>
        </w:rPr>
        <w:t>p</w:t>
      </w:r>
      <w:r w:rsidRPr="00BB4EA3" w:rsidR="00BB4EA3">
        <w:rPr>
          <w:rFonts w:ascii="Times New Roman" w:hAnsi="Times New Roman" w:cs="Times New Roman"/>
          <w:sz w:val="24"/>
          <w:szCs w:val="24"/>
        </w:rPr>
        <w:t>ražské burze</w:t>
      </w:r>
      <w:r w:rsidRPr="00BB4EA3" w:rsidR="0063330C">
        <w:rPr>
          <w:rFonts w:ascii="Times New Roman" w:hAnsi="Times New Roman" w:cs="Times New Roman"/>
          <w:sz w:val="24"/>
          <w:szCs w:val="24"/>
        </w:rPr>
        <w:t>, které umožňují tyto a</w:t>
      </w:r>
      <w:r w:rsidRPr="00BB4EA3" w:rsidR="00BB4EA3">
        <w:rPr>
          <w:rFonts w:ascii="Times New Roman" w:hAnsi="Times New Roman" w:cs="Times New Roman"/>
          <w:sz w:val="24"/>
          <w:szCs w:val="24"/>
        </w:rPr>
        <w:t>kcie nakupovat za české koruny.</w:t>
      </w:r>
    </w:p>
    <w:p w:rsidR="00BB4EA3" w:rsidRPr="00BB4EA3" w:rsidP="00867155">
      <w:pPr>
        <w:spacing w:before="120" w:after="120" w:line="240" w:lineRule="auto"/>
        <w:jc w:val="center"/>
        <w:rPr>
          <w:rFonts w:ascii="Times New Roman" w:hAnsi="Times New Roman" w:cs="Times New Roman"/>
          <w:b/>
          <w:bCs/>
          <w:i/>
          <w:sz w:val="24"/>
          <w:szCs w:val="24"/>
        </w:rPr>
      </w:pPr>
      <w:r w:rsidRPr="00BB4EA3">
        <w:rPr>
          <w:rFonts w:ascii="Times New Roman" w:hAnsi="Times New Roman" w:cs="Times New Roman"/>
          <w:b/>
          <w:bCs/>
          <w:i/>
          <w:sz w:val="24"/>
          <w:szCs w:val="24"/>
        </w:rPr>
        <w:t>6) Zdokonalení toku informací od emitentů k investorům</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BB4EA3"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BB4EA3"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BB4EA3"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ayout w:type="fixed"/>
          <w:tblLook w:val="04A0"/>
        </w:tblPrEx>
        <w:tc>
          <w:tcPr>
            <w:tcW w:w="5353" w:type="dxa"/>
            <w:shd w:val="clear" w:color="auto" w:fill="auto"/>
          </w:tcPr>
          <w:p w:rsidR="00BB4EA3" w:rsidRPr="00867155" w:rsidP="00820E67">
            <w:pPr>
              <w:rPr>
                <w:rFonts w:ascii="Times New Roman" w:hAnsi="Times New Roman" w:cs="Times New Roman"/>
                <w:sz w:val="20"/>
                <w:szCs w:val="20"/>
              </w:rPr>
            </w:pPr>
            <w:r w:rsidRPr="00867155">
              <w:rPr>
                <w:rFonts w:ascii="Times New Roman" w:hAnsi="Times New Roman" w:cs="Times New Roman"/>
                <w:sz w:val="20"/>
                <w:szCs w:val="20"/>
              </w:rPr>
              <w:t>Dále analyzovat, zda právní úprava účinná od června 2019 vyžaduje po emitentech zasílat centrálnímu depozitáři skutečně všechny relevantní informace a zda jsou tyto informace řádně předávány konečným investorům a případně navrhnout další opatření</w:t>
            </w:r>
          </w:p>
        </w:tc>
        <w:tc>
          <w:tcPr>
            <w:tcW w:w="2693" w:type="dxa"/>
            <w:shd w:val="clear" w:color="auto" w:fill="auto"/>
          </w:tcPr>
          <w:p w:rsidR="00BB4EA3" w:rsidRPr="00867155" w:rsidP="00BB4EA3">
            <w:pPr>
              <w:jc w:val="center"/>
              <w:rPr>
                <w:rFonts w:ascii="Times New Roman" w:hAnsi="Times New Roman" w:cs="Times New Roman"/>
                <w:sz w:val="20"/>
                <w:szCs w:val="20"/>
              </w:rPr>
            </w:pPr>
            <w:r w:rsidRPr="00867155">
              <w:rPr>
                <w:rFonts w:ascii="Times New Roman" w:hAnsi="Times New Roman" w:cs="Times New Roman"/>
                <w:sz w:val="20"/>
                <w:szCs w:val="20"/>
              </w:rPr>
              <w:t xml:space="preserve">MF, </w:t>
            </w:r>
            <w:r w:rsidRPr="00867155">
              <w:rPr>
                <w:rFonts w:ascii="Times New Roman" w:hAnsi="Times New Roman" w:cs="Times New Roman"/>
                <w:sz w:val="20"/>
                <w:szCs w:val="20"/>
              </w:rPr>
              <w:t>MSp</w:t>
            </w:r>
            <w:r w:rsidRPr="00867155">
              <w:rPr>
                <w:rFonts w:ascii="Times New Roman" w:hAnsi="Times New Roman" w:cs="Times New Roman"/>
                <w:sz w:val="20"/>
                <w:szCs w:val="20"/>
              </w:rPr>
              <w:t>, CDCP</w:t>
            </w:r>
          </w:p>
        </w:tc>
        <w:tc>
          <w:tcPr>
            <w:tcW w:w="1134" w:type="dxa"/>
            <w:shd w:val="clear" w:color="auto" w:fill="auto"/>
          </w:tcPr>
          <w:p w:rsidR="00BB4EA3"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2021</w:t>
            </w:r>
          </w:p>
        </w:tc>
      </w:tr>
    </w:tbl>
    <w:p w:rsidR="00BB4EA3"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Novela zák</w:t>
      </w:r>
      <w:r w:rsidR="00B2016E">
        <w:rPr>
          <w:rFonts w:ascii="Times New Roman" w:hAnsi="Times New Roman" w:cs="Times New Roman"/>
          <w:sz w:val="24"/>
          <w:szCs w:val="24"/>
        </w:rPr>
        <w:t>ona</w:t>
      </w:r>
      <w:r>
        <w:rPr>
          <w:rFonts w:ascii="Times New Roman" w:hAnsi="Times New Roman" w:cs="Times New Roman"/>
          <w:sz w:val="24"/>
          <w:szCs w:val="24"/>
        </w:rPr>
        <w:t xml:space="preserve"> č. 204/2019 Sb., kterou se transponovala novela směrnice o právech</w:t>
      </w:r>
      <w:r w:rsidR="007F28A9">
        <w:rPr>
          <w:rFonts w:ascii="Times New Roman" w:hAnsi="Times New Roman" w:cs="Times New Roman"/>
          <w:sz w:val="24"/>
          <w:szCs w:val="24"/>
        </w:rPr>
        <w:t xml:space="preserve"> akcionářů</w:t>
      </w:r>
      <w:r w:rsidR="0023152C">
        <w:rPr>
          <w:rFonts w:ascii="Times New Roman" w:hAnsi="Times New Roman" w:cs="Times New Roman"/>
          <w:sz w:val="24"/>
          <w:szCs w:val="24"/>
        </w:rPr>
        <w:t xml:space="preserve"> (</w:t>
      </w:r>
      <w:r>
        <w:fldChar w:fldCharType="begin"/>
      </w:r>
      <w:r>
        <w:instrText xml:space="preserve"> HYPERLINK "https://eur-lex.europa.eu/legal-content/CS/TXT/?uri=celex%3A32017L0828" </w:instrText>
      </w:r>
      <w:r>
        <w:fldChar w:fldCharType="separate"/>
      </w:r>
      <w:r w:rsidRPr="003D5072" w:rsidR="0023152C">
        <w:rPr>
          <w:rStyle w:val="Hyperlink"/>
          <w:rFonts w:ascii="Times New Roman" w:hAnsi="Times New Roman" w:cs="Times New Roman"/>
          <w:sz w:val="24"/>
          <w:szCs w:val="24"/>
        </w:rPr>
        <w:t>2017/828</w:t>
      </w:r>
      <w:r>
        <w:fldChar w:fldCharType="end"/>
      </w:r>
      <w:r w:rsidRPr="007471AF" w:rsidR="00A87492">
        <w:rPr>
          <w:rStyle w:val="Hyperlink"/>
          <w:rFonts w:ascii="Times New Roman" w:hAnsi="Times New Roman" w:cs="Times New Roman"/>
          <w:color w:val="auto"/>
          <w:sz w:val="24"/>
          <w:szCs w:val="24"/>
          <w:u w:val="none"/>
          <w:vertAlign w:val="superscript"/>
        </w:rPr>
        <w:t>37)</w:t>
      </w:r>
      <w:r w:rsidR="0023152C">
        <w:rPr>
          <w:rFonts w:ascii="Times New Roman" w:hAnsi="Times New Roman" w:cs="Times New Roman"/>
          <w:sz w:val="24"/>
          <w:szCs w:val="24"/>
        </w:rPr>
        <w:t>)</w:t>
      </w:r>
      <w:r>
        <w:rPr>
          <w:rFonts w:ascii="Times New Roman" w:hAnsi="Times New Roman" w:cs="Times New Roman"/>
          <w:sz w:val="24"/>
          <w:szCs w:val="24"/>
        </w:rPr>
        <w:t xml:space="preserve">, nabyla účinnosti 1. </w:t>
      </w:r>
      <w:r w:rsidR="00B2016E">
        <w:rPr>
          <w:rFonts w:ascii="Times New Roman" w:hAnsi="Times New Roman" w:cs="Times New Roman"/>
          <w:sz w:val="24"/>
          <w:szCs w:val="24"/>
        </w:rPr>
        <w:t xml:space="preserve">10. </w:t>
      </w:r>
      <w:r>
        <w:rPr>
          <w:rFonts w:ascii="Times New Roman" w:hAnsi="Times New Roman" w:cs="Times New Roman"/>
          <w:sz w:val="24"/>
          <w:szCs w:val="24"/>
        </w:rPr>
        <w:t xml:space="preserve">2019. </w:t>
      </w:r>
      <w:r w:rsidR="00A51BA6">
        <w:rPr>
          <w:rFonts w:ascii="Times New Roman" w:hAnsi="Times New Roman" w:cs="Times New Roman"/>
          <w:sz w:val="24"/>
          <w:szCs w:val="24"/>
        </w:rPr>
        <w:t xml:space="preserve">V současné době nejsou identifikovány žádné problémy spojené s předáváním informací od kótovaných emitentů investorům. Pro výroční zprávy za rok 2020 bude platit nařízení Evropské komise </w:t>
      </w:r>
      <w:r>
        <w:fldChar w:fldCharType="begin"/>
      </w:r>
      <w:r>
        <w:instrText xml:space="preserve"> HYPERLINK "https://eur-lex.europa.eu/legal-content/CS/TXT/?uri=CELEX%3A02019R0815-20200101" </w:instrText>
      </w:r>
      <w:r>
        <w:fldChar w:fldCharType="separate"/>
      </w:r>
      <w:r w:rsidRPr="003D5072" w:rsidR="00A51BA6">
        <w:rPr>
          <w:rStyle w:val="Hyperlink"/>
          <w:rFonts w:ascii="Times New Roman" w:hAnsi="Times New Roman" w:cs="Times New Roman"/>
          <w:sz w:val="24"/>
          <w:szCs w:val="24"/>
        </w:rPr>
        <w:t>2019/815</w:t>
      </w:r>
      <w:r>
        <w:fldChar w:fldCharType="end"/>
      </w:r>
      <w:r w:rsidRPr="007471AF" w:rsidR="00A87492">
        <w:rPr>
          <w:rStyle w:val="Hyperlink"/>
          <w:rFonts w:ascii="Times New Roman" w:hAnsi="Times New Roman" w:cs="Times New Roman"/>
          <w:color w:val="auto"/>
          <w:sz w:val="24"/>
          <w:szCs w:val="24"/>
          <w:u w:val="none"/>
          <w:vertAlign w:val="superscript"/>
        </w:rPr>
        <w:t>38)</w:t>
      </w:r>
      <w:r w:rsidR="00A51BA6">
        <w:rPr>
          <w:rFonts w:ascii="Times New Roman" w:hAnsi="Times New Roman" w:cs="Times New Roman"/>
          <w:sz w:val="24"/>
          <w:szCs w:val="24"/>
        </w:rPr>
        <w:t>, které vyžaduje předávání těchto zpráv (včetně účetních závěrek) ve strojově čitelném formátu (konkrétně v</w:t>
      </w:r>
      <w:r w:rsidR="00B2016E">
        <w:rPr>
          <w:rFonts w:ascii="Times New Roman" w:hAnsi="Times New Roman" w:cs="Times New Roman"/>
          <w:sz w:val="24"/>
          <w:szCs w:val="24"/>
        </w:rPr>
        <w:t> </w:t>
      </w:r>
      <w:r w:rsidR="00A51BA6">
        <w:rPr>
          <w:rFonts w:ascii="Times New Roman" w:hAnsi="Times New Roman" w:cs="Times New Roman"/>
          <w:sz w:val="24"/>
          <w:szCs w:val="24"/>
        </w:rPr>
        <w:t xml:space="preserve">XHMTML). Lze očekávat, že tento strojově čitelný formát výrazně usnadní investorům analýzu informací. V návaznosti na to se navrhuje upravit nařízení vlády č. </w:t>
      </w:r>
      <w:r>
        <w:fldChar w:fldCharType="begin"/>
      </w:r>
      <w:r>
        <w:instrText xml:space="preserve"> HYPERLINK "https://apps.odok.cz/veklep-detail?pid=ALBSBV7JC2I3" </w:instrText>
      </w:r>
      <w:r>
        <w:fldChar w:fldCharType="separate"/>
      </w:r>
      <w:r w:rsidRPr="00A87492" w:rsidR="00A87492">
        <w:rPr>
          <w:rStyle w:val="Hyperlink"/>
          <w:rFonts w:ascii="Times New Roman" w:hAnsi="Times New Roman" w:cs="Times New Roman"/>
          <w:sz w:val="24"/>
          <w:szCs w:val="24"/>
        </w:rPr>
        <w:t>351/2013</w:t>
      </w:r>
      <w:r w:rsidRPr="00A87492" w:rsidR="00A51BA6">
        <w:rPr>
          <w:rStyle w:val="Hyperlink"/>
          <w:rFonts w:ascii="Times New Roman" w:hAnsi="Times New Roman" w:cs="Times New Roman"/>
          <w:sz w:val="24"/>
          <w:szCs w:val="24"/>
        </w:rPr>
        <w:t xml:space="preserve"> </w:t>
      </w:r>
      <w:r w:rsidRPr="00A87492" w:rsidR="00A51BA6">
        <w:rPr>
          <w:rStyle w:val="Hyperlink"/>
          <w:rFonts w:ascii="Times New Roman" w:hAnsi="Times New Roman" w:cs="Times New Roman"/>
          <w:sz w:val="24"/>
          <w:szCs w:val="24"/>
        </w:rPr>
        <w:t>Sb.</w:t>
      </w:r>
      <w:r>
        <w:fldChar w:fldCharType="end"/>
      </w:r>
      <w:r w:rsidRPr="007471AF" w:rsidR="00A87492">
        <w:rPr>
          <w:rStyle w:val="Hyperlink"/>
          <w:rFonts w:ascii="Times New Roman" w:hAnsi="Times New Roman" w:cs="Times New Roman"/>
          <w:color w:val="auto"/>
          <w:sz w:val="24"/>
          <w:szCs w:val="24"/>
          <w:u w:val="none"/>
          <w:vertAlign w:val="superscript"/>
        </w:rPr>
        <w:t>39</w:t>
      </w:r>
      <w:r w:rsidRPr="007471AF" w:rsidR="00A87492">
        <w:rPr>
          <w:rStyle w:val="Hyperlink"/>
          <w:rFonts w:ascii="Times New Roman" w:hAnsi="Times New Roman" w:cs="Times New Roman"/>
          <w:color w:val="auto"/>
          <w:sz w:val="24"/>
          <w:szCs w:val="24"/>
          <w:u w:val="none"/>
          <w:vertAlign w:val="superscript"/>
        </w:rPr>
        <w:t>)</w:t>
      </w:r>
      <w:r w:rsidR="00A51BA6">
        <w:rPr>
          <w:rFonts w:ascii="Times New Roman" w:hAnsi="Times New Roman" w:cs="Times New Roman"/>
          <w:sz w:val="24"/>
          <w:szCs w:val="24"/>
        </w:rPr>
        <w:t>, aby bylo možné do</w:t>
      </w:r>
      <w:r w:rsidR="00894D70">
        <w:rPr>
          <w:rFonts w:ascii="Times New Roman" w:hAnsi="Times New Roman" w:cs="Times New Roman"/>
          <w:sz w:val="24"/>
          <w:szCs w:val="24"/>
        </w:rPr>
        <w:t> </w:t>
      </w:r>
      <w:r w:rsidR="00A51BA6">
        <w:rPr>
          <w:rFonts w:ascii="Times New Roman" w:hAnsi="Times New Roman" w:cs="Times New Roman"/>
          <w:sz w:val="24"/>
          <w:szCs w:val="24"/>
        </w:rPr>
        <w:t>obchodního rejstříku vkládat dokumenty ve strojově čitelném formátu</w:t>
      </w:r>
      <w:r w:rsidR="00216F74">
        <w:rPr>
          <w:rFonts w:ascii="Times New Roman" w:hAnsi="Times New Roman" w:cs="Times New Roman"/>
          <w:sz w:val="24"/>
          <w:szCs w:val="24"/>
        </w:rPr>
        <w:t xml:space="preserve"> (navrhuje se účinnost od 1. </w:t>
      </w:r>
      <w:r w:rsidR="00B2016E">
        <w:rPr>
          <w:rFonts w:ascii="Times New Roman" w:hAnsi="Times New Roman" w:cs="Times New Roman"/>
          <w:sz w:val="24"/>
          <w:szCs w:val="24"/>
        </w:rPr>
        <w:t xml:space="preserve">2. </w:t>
      </w:r>
      <w:r w:rsidR="00216F74">
        <w:rPr>
          <w:rFonts w:ascii="Times New Roman" w:hAnsi="Times New Roman" w:cs="Times New Roman"/>
          <w:sz w:val="24"/>
          <w:szCs w:val="24"/>
        </w:rPr>
        <w:t>2021)</w:t>
      </w:r>
      <w:r w:rsidR="00A51BA6">
        <w:rPr>
          <w:rFonts w:ascii="Times New Roman" w:hAnsi="Times New Roman" w:cs="Times New Roman"/>
          <w:sz w:val="24"/>
          <w:szCs w:val="24"/>
        </w:rPr>
        <w:t xml:space="preserve">. Kromě toho </w:t>
      </w:r>
      <w:r w:rsidR="00B2016E">
        <w:rPr>
          <w:rFonts w:ascii="Times New Roman" w:hAnsi="Times New Roman" w:cs="Times New Roman"/>
          <w:sz w:val="24"/>
          <w:szCs w:val="24"/>
        </w:rPr>
        <w:t>k</w:t>
      </w:r>
      <w:r w:rsidR="00A51BA6">
        <w:rPr>
          <w:rFonts w:ascii="Times New Roman" w:hAnsi="Times New Roman" w:cs="Times New Roman"/>
          <w:sz w:val="24"/>
          <w:szCs w:val="24"/>
        </w:rPr>
        <w:t xml:space="preserve">oncepční novela navrhuje rozšířit požadavky na emisní podmínky podlimitních emisí dluhopisů, u kterých není vyhotoven prospekt. I toto opatření by mělo usnadnit předávání informací investorům. </w:t>
      </w:r>
      <w:r w:rsidR="00216F74">
        <w:rPr>
          <w:rFonts w:ascii="Times New Roman" w:hAnsi="Times New Roman" w:cs="Times New Roman"/>
          <w:sz w:val="24"/>
          <w:szCs w:val="24"/>
        </w:rPr>
        <w:t>Očekává se, že tato oblast bude dále sledována a případné identifikované problémy budou dále řešeny.</w:t>
      </w:r>
    </w:p>
    <w:p w:rsidR="00216F74" w:rsidRPr="00216F74" w:rsidP="00867155">
      <w:pPr>
        <w:spacing w:before="120" w:after="120" w:line="240" w:lineRule="auto"/>
        <w:jc w:val="center"/>
        <w:rPr>
          <w:rFonts w:ascii="Times New Roman" w:hAnsi="Times New Roman" w:cs="Times New Roman"/>
          <w:b/>
          <w:bCs/>
          <w:i/>
          <w:sz w:val="24"/>
          <w:szCs w:val="24"/>
        </w:rPr>
      </w:pPr>
      <w:r w:rsidRPr="00216F74">
        <w:rPr>
          <w:rFonts w:ascii="Times New Roman" w:hAnsi="Times New Roman" w:cs="Times New Roman"/>
          <w:b/>
          <w:bCs/>
          <w:i/>
          <w:sz w:val="24"/>
          <w:szCs w:val="24"/>
        </w:rPr>
        <w:t>7) Vzdělávání finančních ředitelů malých a středních podniků o možnostech financování přes kapitálový trh</w:t>
      </w:r>
    </w:p>
    <w:tbl>
      <w:tblPr>
        <w:tblStyle w:val="Mkatabulky4"/>
        <w:tblW w:w="0" w:type="auto"/>
        <w:shd w:val="solid" w:color="auto" w:fill="auto"/>
        <w:tblLook w:val="04A0"/>
      </w:tblPr>
      <w:tblGrid>
        <w:gridCol w:w="5268"/>
        <w:gridCol w:w="2663"/>
        <w:gridCol w:w="1131"/>
      </w:tblGrid>
      <w:tr w:rsidTr="00820E67">
        <w:tblPrEx>
          <w:tblW w:w="0" w:type="auto"/>
          <w:shd w:val="solid" w:color="auto" w:fill="auto"/>
          <w:tblLook w:val="04A0"/>
        </w:tblPrEx>
        <w:tc>
          <w:tcPr>
            <w:tcW w:w="5353" w:type="dxa"/>
            <w:shd w:val="clear" w:color="auto" w:fill="002060"/>
          </w:tcPr>
          <w:p w:rsidR="00216F74"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216F74"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216F74"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ook w:val="04A0"/>
        </w:tblPrEx>
        <w:tc>
          <w:tcPr>
            <w:tcW w:w="5353" w:type="dxa"/>
            <w:shd w:val="clear" w:color="auto" w:fill="auto"/>
          </w:tcPr>
          <w:p w:rsidR="00216F74" w:rsidRPr="00867155" w:rsidP="00820E67">
            <w:pPr>
              <w:spacing w:after="200" w:line="276" w:lineRule="auto"/>
              <w:rPr>
                <w:rFonts w:ascii="Times New Roman" w:hAnsi="Times New Roman" w:cs="Times New Roman"/>
                <w:sz w:val="20"/>
                <w:szCs w:val="20"/>
              </w:rPr>
            </w:pPr>
            <w:r w:rsidRPr="00867155">
              <w:rPr>
                <w:rFonts w:ascii="Times New Roman" w:hAnsi="Times New Roman" w:cs="Times New Roman"/>
                <w:sz w:val="20"/>
                <w:szCs w:val="20"/>
              </w:rPr>
              <w:t>Analyzovat možnosti nejvhodnější komunikační strategie vůči malým a středním podnikům a následně realizovat doporučená opatření</w:t>
            </w:r>
          </w:p>
        </w:tc>
        <w:tc>
          <w:tcPr>
            <w:tcW w:w="2693" w:type="dxa"/>
            <w:shd w:val="clear" w:color="auto" w:fill="auto"/>
          </w:tcPr>
          <w:p w:rsidR="00216F74" w:rsidRPr="00867155" w:rsidP="00216F74">
            <w:pPr>
              <w:jc w:val="center"/>
              <w:rPr>
                <w:rFonts w:ascii="Times New Roman" w:hAnsi="Times New Roman" w:cs="Times New Roman"/>
                <w:sz w:val="20"/>
                <w:szCs w:val="20"/>
              </w:rPr>
            </w:pPr>
            <w:r w:rsidRPr="00867155">
              <w:rPr>
                <w:rFonts w:ascii="Times New Roman" w:hAnsi="Times New Roman" w:cs="Times New Roman"/>
                <w:sz w:val="20"/>
                <w:szCs w:val="20"/>
              </w:rPr>
              <w:t xml:space="preserve">MF, Evropská komise (SRSP), MPO, MŽP, </w:t>
            </w:r>
            <w:r w:rsidRPr="00867155">
              <w:rPr>
                <w:rFonts w:ascii="Times New Roman" w:hAnsi="Times New Roman" w:cs="Times New Roman"/>
                <w:sz w:val="20"/>
                <w:szCs w:val="20"/>
              </w:rPr>
              <w:t>CzechInvest</w:t>
            </w:r>
            <w:r w:rsidRPr="00867155">
              <w:rPr>
                <w:rFonts w:ascii="Times New Roman" w:hAnsi="Times New Roman" w:cs="Times New Roman"/>
                <w:sz w:val="20"/>
                <w:szCs w:val="20"/>
              </w:rPr>
              <w:t>, HK ČR, BCPP, VŠE</w:t>
            </w:r>
          </w:p>
        </w:tc>
        <w:tc>
          <w:tcPr>
            <w:tcW w:w="1134" w:type="dxa"/>
            <w:shd w:val="clear" w:color="auto" w:fill="auto"/>
          </w:tcPr>
          <w:p w:rsidR="00216F74"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216F74"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Evropská komise v rámci programu na podporu strukturálních reforem financovala přípravu </w:t>
      </w:r>
      <w:r>
        <w:fldChar w:fldCharType="begin"/>
      </w:r>
      <w:r>
        <w:instrText xml:space="preserve"> HYPERLINK "https://www.mfcr.cz/cs/soukromy-sektor/kapitalovy-trh/podnikani-na-kapitalovem-trhu/2019/mf-zverejnuje-zpravu-o-gramotnosti-na-ka-36655" </w:instrText>
      </w:r>
      <w:r>
        <w:fldChar w:fldCharType="separate"/>
      </w:r>
      <w:r w:rsidRPr="003D5072">
        <w:rPr>
          <w:rStyle w:val="Hyperlink"/>
          <w:rFonts w:ascii="Times New Roman" w:hAnsi="Times New Roman" w:cs="Times New Roman"/>
          <w:sz w:val="24"/>
          <w:szCs w:val="24"/>
        </w:rPr>
        <w:t>komunikační strategie</w:t>
      </w:r>
      <w:r>
        <w:fldChar w:fldCharType="end"/>
      </w:r>
      <w:r w:rsidR="00385EA2">
        <w:rPr>
          <w:rStyle w:val="Hyperlink"/>
          <w:rFonts w:ascii="Times New Roman" w:hAnsi="Times New Roman" w:cs="Times New Roman"/>
          <w:color w:val="auto"/>
          <w:sz w:val="24"/>
          <w:szCs w:val="24"/>
          <w:u w:val="none"/>
          <w:vertAlign w:val="superscript"/>
        </w:rPr>
        <w:t>40</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nazvané </w:t>
      </w:r>
      <w:r w:rsidRPr="00AC2112">
        <w:rPr>
          <w:rFonts w:ascii="Times New Roman" w:hAnsi="Times New Roman" w:cs="Times New Roman"/>
          <w:sz w:val="24"/>
          <w:szCs w:val="24"/>
        </w:rPr>
        <w:t>Capital</w:t>
      </w:r>
      <w:r w:rsidRPr="00AC2112">
        <w:rPr>
          <w:rFonts w:ascii="Times New Roman" w:hAnsi="Times New Roman" w:cs="Times New Roman"/>
          <w:sz w:val="24"/>
          <w:szCs w:val="24"/>
        </w:rPr>
        <w:t xml:space="preserve"> </w:t>
      </w:r>
      <w:r w:rsidRPr="00AC2112">
        <w:rPr>
          <w:rFonts w:ascii="Times New Roman" w:hAnsi="Times New Roman" w:cs="Times New Roman"/>
          <w:sz w:val="24"/>
          <w:szCs w:val="24"/>
        </w:rPr>
        <w:t>Markets</w:t>
      </w:r>
      <w:r w:rsidRPr="00AC2112">
        <w:rPr>
          <w:rFonts w:ascii="Times New Roman" w:hAnsi="Times New Roman" w:cs="Times New Roman"/>
          <w:sz w:val="24"/>
          <w:szCs w:val="24"/>
        </w:rPr>
        <w:t xml:space="preserve"> </w:t>
      </w:r>
      <w:r w:rsidRPr="00AC2112">
        <w:rPr>
          <w:rFonts w:ascii="Times New Roman" w:hAnsi="Times New Roman" w:cs="Times New Roman"/>
          <w:sz w:val="24"/>
          <w:szCs w:val="24"/>
        </w:rPr>
        <w:t>Literacy</w:t>
      </w:r>
      <w:r w:rsidRPr="00AC2112">
        <w:rPr>
          <w:rFonts w:ascii="Times New Roman" w:hAnsi="Times New Roman" w:cs="Times New Roman"/>
          <w:sz w:val="24"/>
          <w:szCs w:val="24"/>
        </w:rPr>
        <w:t xml:space="preserve"> in </w:t>
      </w:r>
      <w:r w:rsidRPr="00AC2112">
        <w:rPr>
          <w:rFonts w:ascii="Times New Roman" w:hAnsi="Times New Roman" w:cs="Times New Roman"/>
          <w:sz w:val="24"/>
          <w:szCs w:val="24"/>
        </w:rPr>
        <w:t>the</w:t>
      </w:r>
      <w:r w:rsidRPr="00AC2112">
        <w:rPr>
          <w:rFonts w:ascii="Times New Roman" w:hAnsi="Times New Roman" w:cs="Times New Roman"/>
          <w:sz w:val="24"/>
          <w:szCs w:val="24"/>
        </w:rPr>
        <w:t xml:space="preserve"> Czech Republic</w:t>
      </w:r>
      <w:r>
        <w:rPr>
          <w:rFonts w:ascii="Times New Roman" w:hAnsi="Times New Roman" w:cs="Times New Roman"/>
          <w:sz w:val="24"/>
          <w:szCs w:val="24"/>
        </w:rPr>
        <w:t xml:space="preserve"> (Gramotnost na kapitálovém trhu v České republice). Tato zpráva byla publikována v listopadu 2019 a</w:t>
      </w:r>
      <w:r w:rsidR="00B2016E">
        <w:rPr>
          <w:rFonts w:ascii="Times New Roman" w:hAnsi="Times New Roman" w:cs="Times New Roman"/>
          <w:sz w:val="24"/>
          <w:szCs w:val="24"/>
        </w:rPr>
        <w:t> </w:t>
      </w:r>
      <w:r>
        <w:rPr>
          <w:rFonts w:ascii="Times New Roman" w:hAnsi="Times New Roman" w:cs="Times New Roman"/>
          <w:sz w:val="24"/>
          <w:szCs w:val="24"/>
        </w:rPr>
        <w:t xml:space="preserve">obsahuje </w:t>
      </w:r>
      <w:r w:rsidR="00A412A2">
        <w:rPr>
          <w:rFonts w:ascii="Times New Roman" w:hAnsi="Times New Roman" w:cs="Times New Roman"/>
          <w:sz w:val="24"/>
          <w:szCs w:val="24"/>
        </w:rPr>
        <w:t>řadu doporučení, jakým způsobem zvýšit povědomí malých a středních podniků o</w:t>
      </w:r>
      <w:r w:rsidR="00B2016E">
        <w:rPr>
          <w:rFonts w:ascii="Times New Roman" w:hAnsi="Times New Roman" w:cs="Times New Roman"/>
          <w:sz w:val="24"/>
          <w:szCs w:val="24"/>
        </w:rPr>
        <w:t> </w:t>
      </w:r>
      <w:r w:rsidR="00A412A2">
        <w:rPr>
          <w:rFonts w:ascii="Times New Roman" w:hAnsi="Times New Roman" w:cs="Times New Roman"/>
          <w:sz w:val="24"/>
          <w:szCs w:val="24"/>
        </w:rPr>
        <w:t>možnostech financování se přes kapitálový trh. Vybraná doporučení byla zvolena do dalšího navazujícího projektu, jehož cílem je vytvoření webových str</w:t>
      </w:r>
      <w:r w:rsidR="00894D70">
        <w:rPr>
          <w:rFonts w:ascii="Times New Roman" w:hAnsi="Times New Roman" w:cs="Times New Roman"/>
          <w:sz w:val="24"/>
          <w:szCs w:val="24"/>
        </w:rPr>
        <w:t>ánek Kapitalovypruvodce.cz, kde </w:t>
      </w:r>
      <w:r w:rsidR="00A412A2">
        <w:rPr>
          <w:rFonts w:ascii="Times New Roman" w:hAnsi="Times New Roman" w:cs="Times New Roman"/>
          <w:sz w:val="24"/>
          <w:szCs w:val="24"/>
        </w:rPr>
        <w:t>budou obsaženy důležité informace o financování se na kapitálovém trhu, včetně relevantních kontaktů na odborníky a poradce. Součástí webových stránek budou i videa obsahující rozhovory s emitenty, kteří se</w:t>
      </w:r>
      <w:r w:rsidR="00AA4F6B">
        <w:rPr>
          <w:rFonts w:ascii="Times New Roman" w:hAnsi="Times New Roman" w:cs="Times New Roman"/>
          <w:sz w:val="24"/>
          <w:szCs w:val="24"/>
        </w:rPr>
        <w:t xml:space="preserve"> přes kapitálový trh financovali</w:t>
      </w:r>
      <w:r w:rsidR="00A412A2">
        <w:rPr>
          <w:rFonts w:ascii="Times New Roman" w:hAnsi="Times New Roman" w:cs="Times New Roman"/>
          <w:sz w:val="24"/>
          <w:szCs w:val="24"/>
        </w:rPr>
        <w:t xml:space="preserve">, a s </w:t>
      </w:r>
      <w:r w:rsidR="00AA4F6B">
        <w:rPr>
          <w:rFonts w:ascii="Times New Roman" w:hAnsi="Times New Roman" w:cs="Times New Roman"/>
          <w:sz w:val="24"/>
          <w:szCs w:val="24"/>
        </w:rPr>
        <w:t>dalšími odborníky. K </w:t>
      </w:r>
      <w:r w:rsidR="00A412A2">
        <w:rPr>
          <w:rFonts w:ascii="Times New Roman" w:hAnsi="Times New Roman" w:cs="Times New Roman"/>
          <w:sz w:val="24"/>
          <w:szCs w:val="24"/>
        </w:rPr>
        <w:t>příležitosti spuštění webové stránky se předpokládá celodenní konference, kam budou přizváni i zástupci emitentů z různých krajů ČR. Z důvodu pandemie COVID-19 se však plánovaná konference odkládá</w:t>
      </w:r>
      <w:r w:rsidR="00B2016E">
        <w:rPr>
          <w:rFonts w:ascii="Times New Roman" w:hAnsi="Times New Roman" w:cs="Times New Roman"/>
          <w:sz w:val="24"/>
          <w:szCs w:val="24"/>
        </w:rPr>
        <w:t xml:space="preserve"> (</w:t>
      </w:r>
      <w:r w:rsidR="00A412A2">
        <w:rPr>
          <w:rFonts w:ascii="Times New Roman" w:hAnsi="Times New Roman" w:cs="Times New Roman"/>
          <w:sz w:val="24"/>
          <w:szCs w:val="24"/>
        </w:rPr>
        <w:t xml:space="preserve">došlo k posunu termínu z února na duben 2021, nicméně lze očekávat další </w:t>
      </w:r>
      <w:r w:rsidR="00AA4F6B">
        <w:rPr>
          <w:rFonts w:ascii="Times New Roman" w:hAnsi="Times New Roman" w:cs="Times New Roman"/>
          <w:sz w:val="24"/>
          <w:szCs w:val="24"/>
        </w:rPr>
        <w:t>posuny</w:t>
      </w:r>
      <w:r w:rsidR="00B2016E">
        <w:rPr>
          <w:rFonts w:ascii="Times New Roman" w:hAnsi="Times New Roman" w:cs="Times New Roman"/>
          <w:sz w:val="24"/>
          <w:szCs w:val="24"/>
        </w:rPr>
        <w:t>)</w:t>
      </w:r>
      <w:r w:rsidR="00AA4F6B">
        <w:rPr>
          <w:rFonts w:ascii="Times New Roman" w:hAnsi="Times New Roman" w:cs="Times New Roman"/>
          <w:sz w:val="24"/>
          <w:szCs w:val="24"/>
        </w:rPr>
        <w:t>. Do budoucna je vhodné uvažovat i o realizaci dalších doporučení z výše uvedené komunikační strategie.</w:t>
      </w:r>
    </w:p>
    <w:p w:rsidR="00AA4F6B" w:rsidRPr="00B57F5F" w:rsidP="00867155">
      <w:pPr>
        <w:spacing w:before="120" w:after="120" w:line="240" w:lineRule="auto"/>
        <w:jc w:val="center"/>
        <w:rPr>
          <w:rFonts w:ascii="Times New Roman" w:hAnsi="Times New Roman" w:cs="Times New Roman"/>
          <w:b/>
          <w:bCs/>
          <w:i/>
          <w:sz w:val="24"/>
          <w:szCs w:val="24"/>
        </w:rPr>
      </w:pPr>
      <w:r w:rsidRPr="00B57F5F">
        <w:rPr>
          <w:rFonts w:ascii="Times New Roman" w:hAnsi="Times New Roman" w:cs="Times New Roman"/>
          <w:b/>
          <w:bCs/>
          <w:i/>
          <w:sz w:val="24"/>
          <w:szCs w:val="24"/>
        </w:rPr>
        <w:t xml:space="preserve">8) Zlepšení podmínek fungování tzv. </w:t>
      </w:r>
      <w:r w:rsidRPr="00AA4F6B">
        <w:rPr>
          <w:rFonts w:ascii="Times New Roman" w:hAnsi="Times New Roman" w:cs="Times New Roman"/>
          <w:b/>
          <w:bCs/>
          <w:i/>
          <w:sz w:val="24"/>
          <w:szCs w:val="24"/>
        </w:rPr>
        <w:t xml:space="preserve">business </w:t>
      </w:r>
      <w:r w:rsidRPr="00AA4F6B">
        <w:rPr>
          <w:rFonts w:ascii="Times New Roman" w:hAnsi="Times New Roman" w:cs="Times New Roman"/>
          <w:b/>
          <w:bCs/>
          <w:i/>
          <w:sz w:val="24"/>
          <w:szCs w:val="24"/>
        </w:rPr>
        <w:t>angels</w:t>
      </w:r>
      <w:r w:rsidRPr="00B57F5F">
        <w:rPr>
          <w:rFonts w:ascii="Times New Roman" w:hAnsi="Times New Roman" w:cs="Times New Roman"/>
          <w:b/>
          <w:bCs/>
          <w:i/>
          <w:sz w:val="24"/>
          <w:szCs w:val="24"/>
        </w:rPr>
        <w:t xml:space="preserve"> v České republice</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rPr>
          <w:trHeight w:val="178"/>
        </w:trPr>
        <w:tc>
          <w:tcPr>
            <w:tcW w:w="5353" w:type="dxa"/>
            <w:shd w:val="clear" w:color="auto" w:fill="002060"/>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ayout w:type="fixed"/>
          <w:tblLook w:val="04A0"/>
        </w:tblPrEx>
        <w:trPr>
          <w:trHeight w:val="853"/>
        </w:trPr>
        <w:tc>
          <w:tcPr>
            <w:tcW w:w="5353" w:type="dxa"/>
            <w:shd w:val="clear" w:color="auto" w:fill="auto"/>
          </w:tcPr>
          <w:p w:rsidR="00AA4F6B" w:rsidRPr="00867155" w:rsidP="00820E67">
            <w:pPr>
              <w:rPr>
                <w:rFonts w:ascii="Times New Roman" w:hAnsi="Times New Roman" w:cs="Times New Roman"/>
                <w:sz w:val="20"/>
                <w:szCs w:val="20"/>
              </w:rPr>
            </w:pPr>
            <w:r w:rsidRPr="00867155">
              <w:rPr>
                <w:rFonts w:ascii="Times New Roman" w:hAnsi="Times New Roman" w:cs="Times New Roman"/>
                <w:sz w:val="20"/>
                <w:szCs w:val="20"/>
              </w:rPr>
              <w:t xml:space="preserve">Zajistit časový sběr dat ohledně investičních aktivit </w:t>
            </w:r>
            <w:r w:rsidRPr="00867155">
              <w:rPr>
                <w:rFonts w:ascii="Times New Roman" w:hAnsi="Times New Roman" w:cs="Times New Roman"/>
                <w:i/>
                <w:sz w:val="20"/>
                <w:szCs w:val="20"/>
              </w:rPr>
              <w:t xml:space="preserve">business </w:t>
            </w:r>
            <w:r w:rsidRPr="00867155">
              <w:rPr>
                <w:rFonts w:ascii="Times New Roman" w:hAnsi="Times New Roman" w:cs="Times New Roman"/>
                <w:i/>
                <w:sz w:val="20"/>
                <w:szCs w:val="20"/>
              </w:rPr>
              <w:t>angels</w:t>
            </w:r>
            <w:r w:rsidRPr="00867155">
              <w:rPr>
                <w:rFonts w:ascii="Times New Roman" w:hAnsi="Times New Roman" w:cs="Times New Roman"/>
                <w:sz w:val="20"/>
                <w:szCs w:val="20"/>
              </w:rPr>
              <w:t xml:space="preserve"> a každoročně jej aktualizovat (podobně jako u stávajících dat ohledně trhu </w:t>
            </w:r>
            <w:r w:rsidRPr="00867155">
              <w:rPr>
                <w:rFonts w:ascii="Times New Roman" w:hAnsi="Times New Roman" w:cs="Times New Roman"/>
                <w:i/>
                <w:sz w:val="20"/>
                <w:szCs w:val="20"/>
              </w:rPr>
              <w:t xml:space="preserve">venture </w:t>
            </w:r>
            <w:r w:rsidRPr="00867155">
              <w:rPr>
                <w:rFonts w:ascii="Times New Roman" w:hAnsi="Times New Roman" w:cs="Times New Roman"/>
                <w:i/>
                <w:sz w:val="20"/>
                <w:szCs w:val="20"/>
              </w:rPr>
              <w:t>capital</w:t>
            </w:r>
            <w:r w:rsidRPr="00867155">
              <w:rPr>
                <w:rFonts w:ascii="Times New Roman" w:hAnsi="Times New Roman" w:cs="Times New Roman"/>
                <w:sz w:val="20"/>
                <w:szCs w:val="20"/>
              </w:rPr>
              <w:t>)</w:t>
            </w:r>
          </w:p>
        </w:tc>
        <w:tc>
          <w:tcPr>
            <w:tcW w:w="2693"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 MPO</w:t>
            </w:r>
          </w:p>
        </w:tc>
        <w:tc>
          <w:tcPr>
            <w:tcW w:w="1134"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r w:rsidTr="00820E67">
        <w:tblPrEx>
          <w:tblW w:w="0" w:type="auto"/>
          <w:shd w:val="solid" w:color="auto" w:fill="auto"/>
          <w:tblLayout w:type="fixed"/>
          <w:tblLook w:val="04A0"/>
        </w:tblPrEx>
        <w:trPr>
          <w:trHeight w:val="853"/>
        </w:trPr>
        <w:tc>
          <w:tcPr>
            <w:tcW w:w="5353" w:type="dxa"/>
            <w:shd w:val="clear" w:color="auto" w:fill="auto"/>
          </w:tcPr>
          <w:p w:rsidR="00AA4F6B" w:rsidRPr="00867155" w:rsidP="00820E67">
            <w:pPr>
              <w:rPr>
                <w:rFonts w:ascii="Times New Roman" w:hAnsi="Times New Roman" w:cs="Times New Roman"/>
                <w:sz w:val="20"/>
                <w:szCs w:val="20"/>
              </w:rPr>
            </w:pPr>
            <w:r w:rsidRPr="00867155">
              <w:rPr>
                <w:rFonts w:ascii="Times New Roman" w:hAnsi="Times New Roman" w:cs="Times New Roman"/>
                <w:sz w:val="20"/>
                <w:szCs w:val="20"/>
              </w:rPr>
              <w:t xml:space="preserve">Provést analýzu daňových poplatníků, aby bylo možné kvantifikovat počet fyzických osob v České republice, které mají potenciál být </w:t>
            </w:r>
            <w:r w:rsidRPr="00867155">
              <w:rPr>
                <w:rFonts w:ascii="Times New Roman" w:hAnsi="Times New Roman" w:cs="Times New Roman"/>
                <w:i/>
                <w:sz w:val="20"/>
                <w:szCs w:val="20"/>
              </w:rPr>
              <w:t xml:space="preserve">business </w:t>
            </w:r>
            <w:r w:rsidRPr="00867155">
              <w:rPr>
                <w:rFonts w:ascii="Times New Roman" w:hAnsi="Times New Roman" w:cs="Times New Roman"/>
                <w:i/>
                <w:sz w:val="20"/>
                <w:szCs w:val="20"/>
              </w:rPr>
              <w:t>angel</w:t>
            </w:r>
            <w:r w:rsidRPr="00867155">
              <w:rPr>
                <w:rFonts w:ascii="Times New Roman" w:hAnsi="Times New Roman" w:cs="Times New Roman"/>
                <w:sz w:val="20"/>
                <w:szCs w:val="20"/>
              </w:rPr>
              <w:t xml:space="preserve"> a každoročně tuto analýzu opakovat</w:t>
            </w:r>
          </w:p>
        </w:tc>
        <w:tc>
          <w:tcPr>
            <w:tcW w:w="2693"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 MPO</w:t>
            </w:r>
          </w:p>
        </w:tc>
        <w:tc>
          <w:tcPr>
            <w:tcW w:w="1134"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r w:rsidTr="00867155">
        <w:tblPrEx>
          <w:tblW w:w="0" w:type="auto"/>
          <w:shd w:val="solid" w:color="auto" w:fill="auto"/>
          <w:tblLayout w:type="fixed"/>
          <w:tblLook w:val="04A0"/>
        </w:tblPrEx>
        <w:trPr>
          <w:trHeight w:val="558"/>
        </w:trPr>
        <w:tc>
          <w:tcPr>
            <w:tcW w:w="5353" w:type="dxa"/>
            <w:shd w:val="clear" w:color="auto" w:fill="auto"/>
          </w:tcPr>
          <w:p w:rsidR="00AA4F6B" w:rsidRPr="00867155" w:rsidP="00820E67">
            <w:pPr>
              <w:rPr>
                <w:rFonts w:ascii="Times New Roman" w:hAnsi="Times New Roman" w:cs="Times New Roman"/>
                <w:sz w:val="20"/>
                <w:szCs w:val="20"/>
              </w:rPr>
            </w:pPr>
            <w:r w:rsidRPr="00867155">
              <w:rPr>
                <w:rFonts w:ascii="Times New Roman" w:hAnsi="Times New Roman" w:cs="Times New Roman"/>
                <w:sz w:val="20"/>
                <w:szCs w:val="20"/>
              </w:rPr>
              <w:t xml:space="preserve">Zajistit každoroční průzkum poptávky spočívající v mapování zakladatelů </w:t>
            </w:r>
            <w:r w:rsidRPr="00867155">
              <w:rPr>
                <w:rFonts w:ascii="Times New Roman" w:hAnsi="Times New Roman" w:cs="Times New Roman"/>
                <w:i/>
                <w:sz w:val="20"/>
                <w:szCs w:val="20"/>
              </w:rPr>
              <w:t>start-</w:t>
            </w:r>
            <w:r w:rsidRPr="00867155">
              <w:rPr>
                <w:rFonts w:ascii="Times New Roman" w:hAnsi="Times New Roman" w:cs="Times New Roman"/>
                <w:i/>
                <w:sz w:val="20"/>
                <w:szCs w:val="20"/>
              </w:rPr>
              <w:t>upů</w:t>
            </w:r>
            <w:r w:rsidRPr="00867155">
              <w:rPr>
                <w:rFonts w:ascii="Times New Roman" w:hAnsi="Times New Roman" w:cs="Times New Roman"/>
                <w:sz w:val="20"/>
                <w:szCs w:val="20"/>
              </w:rPr>
              <w:t xml:space="preserve"> a podnikatelů ze </w:t>
            </w:r>
            <w:r w:rsidRPr="00867155">
              <w:rPr>
                <w:rFonts w:ascii="Times New Roman" w:hAnsi="Times New Roman" w:cs="Times New Roman"/>
                <w:i/>
                <w:sz w:val="20"/>
                <w:szCs w:val="20"/>
              </w:rPr>
              <w:t>start-</w:t>
            </w:r>
            <w:r w:rsidRPr="00867155">
              <w:rPr>
                <w:rFonts w:ascii="Times New Roman" w:hAnsi="Times New Roman" w:cs="Times New Roman"/>
                <w:i/>
                <w:sz w:val="20"/>
                <w:szCs w:val="20"/>
              </w:rPr>
              <w:t>upů</w:t>
            </w:r>
          </w:p>
        </w:tc>
        <w:tc>
          <w:tcPr>
            <w:tcW w:w="2693"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 MPO</w:t>
            </w:r>
          </w:p>
        </w:tc>
        <w:tc>
          <w:tcPr>
            <w:tcW w:w="1134"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r w:rsidTr="00AA4F6B">
        <w:tblPrEx>
          <w:tblW w:w="0" w:type="auto"/>
          <w:shd w:val="solid" w:color="auto" w:fill="auto"/>
          <w:tblLayout w:type="fixed"/>
          <w:tblLook w:val="04A0"/>
        </w:tblPrEx>
        <w:trPr>
          <w:trHeight w:val="521"/>
        </w:trPr>
        <w:tc>
          <w:tcPr>
            <w:tcW w:w="5353" w:type="dxa"/>
            <w:shd w:val="clear" w:color="auto" w:fill="auto"/>
          </w:tcPr>
          <w:p w:rsidR="00AA4F6B" w:rsidRPr="00867155" w:rsidP="00820E67">
            <w:pPr>
              <w:rPr>
                <w:rFonts w:ascii="Times New Roman" w:hAnsi="Times New Roman" w:cs="Times New Roman"/>
                <w:sz w:val="20"/>
                <w:szCs w:val="20"/>
              </w:rPr>
            </w:pPr>
            <w:r w:rsidRPr="00867155">
              <w:rPr>
                <w:rFonts w:ascii="Times New Roman" w:hAnsi="Times New Roman" w:cs="Times New Roman"/>
                <w:sz w:val="20"/>
                <w:szCs w:val="20"/>
              </w:rPr>
              <w:t xml:space="preserve">Vytvořit českou národní asociaci </w:t>
            </w:r>
            <w:r w:rsidRPr="00867155">
              <w:rPr>
                <w:rFonts w:ascii="Times New Roman" w:hAnsi="Times New Roman" w:cs="Times New Roman"/>
                <w:i/>
                <w:sz w:val="20"/>
                <w:szCs w:val="20"/>
              </w:rPr>
              <w:t xml:space="preserve">business </w:t>
            </w:r>
            <w:r w:rsidRPr="00867155">
              <w:rPr>
                <w:rFonts w:ascii="Times New Roman" w:hAnsi="Times New Roman" w:cs="Times New Roman"/>
                <w:i/>
                <w:sz w:val="20"/>
                <w:szCs w:val="20"/>
              </w:rPr>
              <w:t>angels</w:t>
            </w:r>
            <w:r w:rsidRPr="00867155">
              <w:rPr>
                <w:rFonts w:ascii="Times New Roman" w:hAnsi="Times New Roman" w:cs="Times New Roman"/>
                <w:sz w:val="20"/>
                <w:szCs w:val="20"/>
              </w:rPr>
              <w:t xml:space="preserve"> (a stát se členem evropské konfederace Business </w:t>
            </w:r>
            <w:r w:rsidRPr="00867155">
              <w:rPr>
                <w:rFonts w:ascii="Times New Roman" w:hAnsi="Times New Roman" w:cs="Times New Roman"/>
                <w:sz w:val="20"/>
                <w:szCs w:val="20"/>
              </w:rPr>
              <w:t>Angels</w:t>
            </w:r>
            <w:r w:rsidRPr="00867155">
              <w:rPr>
                <w:rFonts w:ascii="Times New Roman" w:hAnsi="Times New Roman" w:cs="Times New Roman"/>
                <w:sz w:val="20"/>
                <w:szCs w:val="20"/>
              </w:rPr>
              <w:t xml:space="preserve"> </w:t>
            </w:r>
            <w:r w:rsidRPr="00867155">
              <w:rPr>
                <w:rFonts w:ascii="Times New Roman" w:hAnsi="Times New Roman" w:cs="Times New Roman"/>
                <w:sz w:val="20"/>
                <w:szCs w:val="20"/>
              </w:rPr>
              <w:t>Europe</w:t>
            </w:r>
            <w:r w:rsidRPr="00867155">
              <w:rPr>
                <w:rFonts w:ascii="Times New Roman" w:hAnsi="Times New Roman" w:cs="Times New Roman"/>
                <w:sz w:val="20"/>
                <w:szCs w:val="20"/>
              </w:rPr>
              <w:t>)</w:t>
            </w:r>
          </w:p>
        </w:tc>
        <w:tc>
          <w:tcPr>
            <w:tcW w:w="2693"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 MPO</w:t>
            </w:r>
          </w:p>
        </w:tc>
        <w:tc>
          <w:tcPr>
            <w:tcW w:w="1134"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2020</w:t>
            </w:r>
          </w:p>
        </w:tc>
      </w:tr>
      <w:tr w:rsidTr="00AA4F6B">
        <w:tblPrEx>
          <w:tblW w:w="0" w:type="auto"/>
          <w:shd w:val="solid" w:color="auto" w:fill="auto"/>
          <w:tblLayout w:type="fixed"/>
          <w:tblLook w:val="04A0"/>
        </w:tblPrEx>
        <w:trPr>
          <w:trHeight w:val="543"/>
        </w:trPr>
        <w:tc>
          <w:tcPr>
            <w:tcW w:w="5353" w:type="dxa"/>
            <w:shd w:val="clear" w:color="auto" w:fill="auto"/>
          </w:tcPr>
          <w:p w:rsidR="00AA4F6B" w:rsidRPr="00867155" w:rsidP="00820E67">
            <w:pPr>
              <w:rPr>
                <w:rFonts w:ascii="Times New Roman" w:hAnsi="Times New Roman" w:cs="Times New Roman"/>
                <w:sz w:val="20"/>
                <w:szCs w:val="20"/>
              </w:rPr>
            </w:pPr>
            <w:r w:rsidRPr="00867155">
              <w:rPr>
                <w:rFonts w:ascii="Times New Roman" w:hAnsi="Times New Roman" w:cs="Times New Roman"/>
                <w:sz w:val="20"/>
                <w:szCs w:val="20"/>
              </w:rPr>
              <w:t xml:space="preserve">Zavést systém </w:t>
            </w:r>
            <w:r w:rsidRPr="00867155">
              <w:rPr>
                <w:rFonts w:ascii="Times New Roman" w:hAnsi="Times New Roman" w:cs="Times New Roman"/>
                <w:sz w:val="20"/>
                <w:szCs w:val="20"/>
              </w:rPr>
              <w:t>sebecertifikace</w:t>
            </w:r>
            <w:r w:rsidRPr="00867155">
              <w:rPr>
                <w:rFonts w:ascii="Times New Roman" w:hAnsi="Times New Roman" w:cs="Times New Roman"/>
                <w:sz w:val="20"/>
                <w:szCs w:val="20"/>
              </w:rPr>
              <w:t xml:space="preserve"> pro </w:t>
            </w:r>
            <w:r w:rsidRPr="00867155">
              <w:rPr>
                <w:rFonts w:ascii="Times New Roman" w:hAnsi="Times New Roman" w:cs="Times New Roman"/>
                <w:i/>
                <w:sz w:val="20"/>
                <w:szCs w:val="20"/>
              </w:rPr>
              <w:t xml:space="preserve">business </w:t>
            </w:r>
            <w:r w:rsidRPr="00867155">
              <w:rPr>
                <w:rFonts w:ascii="Times New Roman" w:hAnsi="Times New Roman" w:cs="Times New Roman"/>
                <w:i/>
                <w:sz w:val="20"/>
                <w:szCs w:val="20"/>
              </w:rPr>
              <w:t>angels</w:t>
            </w:r>
            <w:r w:rsidRPr="00867155">
              <w:rPr>
                <w:rFonts w:ascii="Times New Roman" w:hAnsi="Times New Roman" w:cs="Times New Roman"/>
                <w:sz w:val="20"/>
                <w:szCs w:val="20"/>
              </w:rPr>
              <w:t xml:space="preserve"> v České republice</w:t>
            </w:r>
          </w:p>
        </w:tc>
        <w:tc>
          <w:tcPr>
            <w:tcW w:w="2693"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 MPO</w:t>
            </w:r>
          </w:p>
        </w:tc>
        <w:tc>
          <w:tcPr>
            <w:tcW w:w="1134" w:type="dxa"/>
            <w:shd w:val="clear" w:color="auto" w:fill="auto"/>
          </w:tcPr>
          <w:p w:rsidR="00AA4F6B"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2021</w:t>
            </w:r>
          </w:p>
        </w:tc>
      </w:tr>
    </w:tbl>
    <w:p w:rsidR="00AA4F6B"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uvedená opatření vyplývají ze zprávy Světové banky o </w:t>
      </w:r>
      <w:r w:rsidRPr="0042190D">
        <w:rPr>
          <w:rFonts w:ascii="Times New Roman" w:hAnsi="Times New Roman" w:cs="Times New Roman"/>
          <w:sz w:val="24"/>
          <w:szCs w:val="24"/>
        </w:rPr>
        <w:t xml:space="preserve">business </w:t>
      </w:r>
      <w:r w:rsidRPr="0042190D">
        <w:rPr>
          <w:rFonts w:ascii="Times New Roman" w:hAnsi="Times New Roman" w:cs="Times New Roman"/>
          <w:sz w:val="24"/>
          <w:szCs w:val="24"/>
        </w:rPr>
        <w:t>angels</w:t>
      </w:r>
      <w:r w:rsidRPr="009458E2">
        <w:rPr>
          <w:rFonts w:ascii="Times New Roman" w:hAnsi="Times New Roman" w:cs="Times New Roman"/>
          <w:i/>
          <w:sz w:val="24"/>
          <w:szCs w:val="24"/>
        </w:rPr>
        <w:t xml:space="preserve"> </w:t>
      </w:r>
      <w:r>
        <w:rPr>
          <w:rFonts w:ascii="Times New Roman" w:hAnsi="Times New Roman" w:cs="Times New Roman"/>
          <w:sz w:val="24"/>
          <w:szCs w:val="24"/>
        </w:rPr>
        <w:t>v ČR, která</w:t>
      </w:r>
      <w:r w:rsidR="005D7AEB">
        <w:rPr>
          <w:rFonts w:ascii="Times New Roman" w:hAnsi="Times New Roman" w:cs="Times New Roman"/>
          <w:sz w:val="24"/>
          <w:szCs w:val="24"/>
        </w:rPr>
        <w:t xml:space="preserve"> byla publikována v říjnu 2018 a na kterou odkazuje i Koncepce. Řadu z navržených opatření se podařilo realizovat</w:t>
      </w:r>
      <w:r w:rsidR="00282A23">
        <w:rPr>
          <w:rFonts w:ascii="Times New Roman" w:hAnsi="Times New Roman" w:cs="Times New Roman"/>
          <w:sz w:val="24"/>
          <w:szCs w:val="24"/>
        </w:rPr>
        <w:t>. N</w:t>
      </w:r>
      <w:r w:rsidR="005D7AEB">
        <w:rPr>
          <w:rFonts w:ascii="Times New Roman" w:hAnsi="Times New Roman" w:cs="Times New Roman"/>
          <w:sz w:val="24"/>
          <w:szCs w:val="24"/>
        </w:rPr>
        <w:t>apř</w:t>
      </w:r>
      <w:r w:rsidR="00282A23">
        <w:rPr>
          <w:rFonts w:ascii="Times New Roman" w:hAnsi="Times New Roman" w:cs="Times New Roman"/>
          <w:sz w:val="24"/>
          <w:szCs w:val="24"/>
        </w:rPr>
        <w:t xml:space="preserve">. </w:t>
      </w:r>
      <w:r w:rsidR="005D7AEB">
        <w:rPr>
          <w:rFonts w:ascii="Times New Roman" w:hAnsi="Times New Roman" w:cs="Times New Roman"/>
          <w:sz w:val="24"/>
          <w:szCs w:val="24"/>
        </w:rPr>
        <w:t xml:space="preserve">v prosinci 2019 vznikla česká asociace </w:t>
      </w:r>
      <w:r w:rsidRPr="0042190D" w:rsidR="005D7AEB">
        <w:rPr>
          <w:rFonts w:ascii="Times New Roman" w:hAnsi="Times New Roman" w:cs="Times New Roman"/>
          <w:sz w:val="24"/>
          <w:szCs w:val="24"/>
        </w:rPr>
        <w:t xml:space="preserve">business </w:t>
      </w:r>
      <w:r w:rsidRPr="0042190D" w:rsidR="005D7AEB">
        <w:rPr>
          <w:rFonts w:ascii="Times New Roman" w:hAnsi="Times New Roman" w:cs="Times New Roman"/>
          <w:sz w:val="24"/>
          <w:szCs w:val="24"/>
        </w:rPr>
        <w:t>angels</w:t>
      </w:r>
      <w:r w:rsidR="00A930EB">
        <w:rPr>
          <w:rFonts w:ascii="Times New Roman" w:hAnsi="Times New Roman" w:cs="Times New Roman"/>
          <w:sz w:val="24"/>
          <w:szCs w:val="24"/>
        </w:rPr>
        <w:t xml:space="preserve"> (</w:t>
      </w:r>
      <w:r>
        <w:fldChar w:fldCharType="begin"/>
      </w:r>
      <w:r>
        <w:instrText xml:space="preserve"> HYPERLINK "https://www.cbaa.cz/" </w:instrText>
      </w:r>
      <w:r>
        <w:fldChar w:fldCharType="separate"/>
      </w:r>
      <w:r w:rsidRPr="00A930EB" w:rsidR="00A930EB">
        <w:rPr>
          <w:rStyle w:val="Hyperlink"/>
          <w:rFonts w:ascii="Times New Roman" w:hAnsi="Times New Roman" w:cs="Times New Roman"/>
          <w:sz w:val="24"/>
          <w:szCs w:val="24"/>
        </w:rPr>
        <w:t>Czech Business Angel Association</w:t>
      </w:r>
      <w:r>
        <w:fldChar w:fldCharType="end"/>
      </w:r>
      <w:r w:rsidR="00385EA2">
        <w:rPr>
          <w:rStyle w:val="Hyperlink"/>
          <w:rFonts w:ascii="Times New Roman" w:hAnsi="Times New Roman" w:cs="Times New Roman"/>
          <w:color w:val="auto"/>
          <w:sz w:val="24"/>
          <w:szCs w:val="24"/>
          <w:u w:val="none"/>
          <w:vertAlign w:val="superscript"/>
        </w:rPr>
        <w:t>41</w:t>
      </w:r>
      <w:r w:rsidRPr="00F261B8" w:rsidR="00385EA2">
        <w:rPr>
          <w:rStyle w:val="Hyperlink"/>
          <w:rFonts w:ascii="Times New Roman" w:hAnsi="Times New Roman" w:cs="Times New Roman"/>
          <w:color w:val="auto"/>
          <w:sz w:val="24"/>
          <w:szCs w:val="24"/>
          <w:u w:val="none"/>
          <w:vertAlign w:val="superscript"/>
        </w:rPr>
        <w:t>)</w:t>
      </w:r>
      <w:r w:rsidR="00A930EB">
        <w:rPr>
          <w:rFonts w:ascii="Times New Roman" w:hAnsi="Times New Roman" w:cs="Times New Roman"/>
          <w:sz w:val="24"/>
          <w:szCs w:val="24"/>
        </w:rPr>
        <w:t>)</w:t>
      </w:r>
      <w:r w:rsidR="005D7AEB">
        <w:rPr>
          <w:rFonts w:ascii="Times New Roman" w:hAnsi="Times New Roman" w:cs="Times New Roman"/>
          <w:sz w:val="24"/>
          <w:szCs w:val="24"/>
        </w:rPr>
        <w:t>, která se stala členem evropské asociace EBAN</w:t>
      </w:r>
      <w:r w:rsidR="00AD4D0F">
        <w:rPr>
          <w:rFonts w:ascii="Times New Roman" w:hAnsi="Times New Roman" w:cs="Times New Roman"/>
          <w:sz w:val="24"/>
          <w:szCs w:val="24"/>
        </w:rPr>
        <w:t xml:space="preserve"> a podala </w:t>
      </w:r>
      <w:r w:rsidR="002C4A66">
        <w:rPr>
          <w:rFonts w:ascii="Times New Roman" w:hAnsi="Times New Roman" w:cs="Times New Roman"/>
          <w:sz w:val="24"/>
          <w:szCs w:val="24"/>
        </w:rPr>
        <w:t>i</w:t>
      </w:r>
      <w:r w:rsidR="00282A23">
        <w:rPr>
          <w:rFonts w:ascii="Times New Roman" w:hAnsi="Times New Roman" w:cs="Times New Roman"/>
          <w:sz w:val="24"/>
          <w:szCs w:val="24"/>
        </w:rPr>
        <w:t> </w:t>
      </w:r>
      <w:r w:rsidR="00AD4D0F">
        <w:rPr>
          <w:rFonts w:ascii="Times New Roman" w:hAnsi="Times New Roman" w:cs="Times New Roman"/>
          <w:sz w:val="24"/>
          <w:szCs w:val="24"/>
        </w:rPr>
        <w:t xml:space="preserve">přihlášku o členství do Business </w:t>
      </w:r>
      <w:r w:rsidR="00AD4D0F">
        <w:rPr>
          <w:rFonts w:ascii="Times New Roman" w:hAnsi="Times New Roman" w:cs="Times New Roman"/>
          <w:sz w:val="24"/>
          <w:szCs w:val="24"/>
        </w:rPr>
        <w:t>Angels</w:t>
      </w:r>
      <w:r w:rsidR="00AD4D0F">
        <w:rPr>
          <w:rFonts w:ascii="Times New Roman" w:hAnsi="Times New Roman" w:cs="Times New Roman"/>
          <w:sz w:val="24"/>
          <w:szCs w:val="24"/>
        </w:rPr>
        <w:t xml:space="preserve"> </w:t>
      </w:r>
      <w:r w:rsidR="00AD4D0F">
        <w:rPr>
          <w:rFonts w:ascii="Times New Roman" w:hAnsi="Times New Roman" w:cs="Times New Roman"/>
          <w:sz w:val="24"/>
          <w:szCs w:val="24"/>
        </w:rPr>
        <w:t>Europe</w:t>
      </w:r>
      <w:r w:rsidR="00A930EB">
        <w:rPr>
          <w:rFonts w:ascii="Times New Roman" w:hAnsi="Times New Roman" w:cs="Times New Roman"/>
          <w:sz w:val="24"/>
          <w:szCs w:val="24"/>
        </w:rPr>
        <w:t xml:space="preserve">. </w:t>
      </w:r>
      <w:r w:rsidR="00AD4D0F">
        <w:rPr>
          <w:rFonts w:ascii="Times New Roman" w:hAnsi="Times New Roman" w:cs="Times New Roman"/>
          <w:sz w:val="24"/>
          <w:szCs w:val="24"/>
        </w:rPr>
        <w:t>Tato asociace mimo jiné sbírá data o</w:t>
      </w:r>
      <w:r w:rsidR="00282A23">
        <w:rPr>
          <w:rFonts w:ascii="Times New Roman" w:hAnsi="Times New Roman" w:cs="Times New Roman"/>
          <w:sz w:val="24"/>
          <w:szCs w:val="24"/>
        </w:rPr>
        <w:t> </w:t>
      </w:r>
      <w:r w:rsidR="00AD4D0F">
        <w:rPr>
          <w:rFonts w:ascii="Times New Roman" w:hAnsi="Times New Roman" w:cs="Times New Roman"/>
          <w:sz w:val="24"/>
          <w:szCs w:val="24"/>
        </w:rPr>
        <w:t xml:space="preserve">činnosti business </w:t>
      </w:r>
      <w:r w:rsidR="00AD4D0F">
        <w:rPr>
          <w:rFonts w:ascii="Times New Roman" w:hAnsi="Times New Roman" w:cs="Times New Roman"/>
          <w:sz w:val="24"/>
          <w:szCs w:val="24"/>
        </w:rPr>
        <w:t>angels</w:t>
      </w:r>
      <w:r w:rsidR="00AD4D0F">
        <w:rPr>
          <w:rFonts w:ascii="Times New Roman" w:hAnsi="Times New Roman" w:cs="Times New Roman"/>
          <w:sz w:val="24"/>
          <w:szCs w:val="24"/>
        </w:rPr>
        <w:t xml:space="preserve"> v ČR a předává je do EBAN. </w:t>
      </w:r>
      <w:r w:rsidR="001F3CBB">
        <w:rPr>
          <w:rFonts w:ascii="Times New Roman" w:hAnsi="Times New Roman" w:cs="Times New Roman"/>
          <w:sz w:val="24"/>
          <w:szCs w:val="24"/>
        </w:rPr>
        <w:t>Průzkum start-</w:t>
      </w:r>
      <w:r w:rsidR="001F3CBB">
        <w:rPr>
          <w:rFonts w:ascii="Times New Roman" w:hAnsi="Times New Roman" w:cs="Times New Roman"/>
          <w:sz w:val="24"/>
          <w:szCs w:val="24"/>
        </w:rPr>
        <w:t>upů</w:t>
      </w:r>
      <w:r w:rsidR="001F3CBB">
        <w:rPr>
          <w:rFonts w:ascii="Times New Roman" w:hAnsi="Times New Roman" w:cs="Times New Roman"/>
          <w:sz w:val="24"/>
          <w:szCs w:val="24"/>
        </w:rPr>
        <w:t xml:space="preserve"> provedl </w:t>
      </w:r>
      <w:r>
        <w:fldChar w:fldCharType="begin"/>
      </w:r>
      <w:r>
        <w:instrText xml:space="preserve"> HYPERLINK "https://www.startupreport.cz/" </w:instrText>
      </w:r>
      <w:r>
        <w:fldChar w:fldCharType="separate"/>
      </w:r>
      <w:r w:rsidRPr="001F3CBB" w:rsidR="001F3CBB">
        <w:rPr>
          <w:rStyle w:val="Hyperlink"/>
          <w:rFonts w:ascii="Times New Roman" w:hAnsi="Times New Roman" w:cs="Times New Roman"/>
          <w:sz w:val="24"/>
          <w:szCs w:val="24"/>
        </w:rPr>
        <w:t>Startup</w:t>
      </w:r>
      <w:r w:rsidRPr="001F3CBB" w:rsidR="001F3CBB">
        <w:rPr>
          <w:rStyle w:val="Hyperlink"/>
          <w:rFonts w:ascii="Times New Roman" w:hAnsi="Times New Roman" w:cs="Times New Roman"/>
          <w:sz w:val="24"/>
          <w:szCs w:val="24"/>
        </w:rPr>
        <w:t xml:space="preserve"> Report 2019_2020</w:t>
      </w:r>
      <w:r>
        <w:fldChar w:fldCharType="end"/>
      </w:r>
      <w:r w:rsidR="00385EA2">
        <w:rPr>
          <w:rStyle w:val="Hyperlink"/>
          <w:rFonts w:ascii="Times New Roman" w:hAnsi="Times New Roman" w:cs="Times New Roman"/>
          <w:color w:val="auto"/>
          <w:sz w:val="24"/>
          <w:szCs w:val="24"/>
          <w:u w:val="none"/>
          <w:vertAlign w:val="superscript"/>
        </w:rPr>
        <w:t>42</w:t>
      </w:r>
      <w:r w:rsidRPr="00F261B8" w:rsidR="00385EA2">
        <w:rPr>
          <w:rStyle w:val="Hyperlink"/>
          <w:rFonts w:ascii="Times New Roman" w:hAnsi="Times New Roman" w:cs="Times New Roman"/>
          <w:color w:val="auto"/>
          <w:sz w:val="24"/>
          <w:szCs w:val="24"/>
          <w:u w:val="none"/>
          <w:vertAlign w:val="superscript"/>
        </w:rPr>
        <w:t>)</w:t>
      </w:r>
      <w:r w:rsidR="001F3CBB">
        <w:rPr>
          <w:rFonts w:ascii="Times New Roman" w:hAnsi="Times New Roman" w:cs="Times New Roman"/>
          <w:sz w:val="24"/>
          <w:szCs w:val="24"/>
        </w:rPr>
        <w:t xml:space="preserve"> </w:t>
      </w:r>
      <w:r w:rsidR="00AD4D0F">
        <w:rPr>
          <w:rFonts w:ascii="Times New Roman" w:hAnsi="Times New Roman" w:cs="Times New Roman"/>
          <w:sz w:val="24"/>
          <w:szCs w:val="24"/>
        </w:rPr>
        <w:t>publikovaný v květnu 2020</w:t>
      </w:r>
      <w:r w:rsidR="001F3CBB">
        <w:rPr>
          <w:rFonts w:ascii="Times New Roman" w:hAnsi="Times New Roman" w:cs="Times New Roman"/>
          <w:sz w:val="24"/>
          <w:szCs w:val="24"/>
        </w:rPr>
        <w:t>, jehož vytvoření podpořil kromě jiných i</w:t>
      </w:r>
      <w:r w:rsidR="00282A23">
        <w:rPr>
          <w:rFonts w:ascii="Times New Roman" w:hAnsi="Times New Roman" w:cs="Times New Roman"/>
          <w:sz w:val="24"/>
          <w:szCs w:val="24"/>
        </w:rPr>
        <w:t> </w:t>
      </w:r>
      <w:r w:rsidR="001F3CBB">
        <w:rPr>
          <w:rFonts w:ascii="Times New Roman" w:hAnsi="Times New Roman" w:cs="Times New Roman"/>
          <w:sz w:val="24"/>
          <w:szCs w:val="24"/>
        </w:rPr>
        <w:t>CzechInvest</w:t>
      </w:r>
      <w:r w:rsidR="001F3CBB">
        <w:rPr>
          <w:rFonts w:ascii="Times New Roman" w:hAnsi="Times New Roman" w:cs="Times New Roman"/>
          <w:sz w:val="24"/>
          <w:szCs w:val="24"/>
        </w:rPr>
        <w:t xml:space="preserve">. </w:t>
      </w:r>
      <w:r w:rsidR="00AD4D0F">
        <w:rPr>
          <w:rFonts w:ascii="Times New Roman" w:hAnsi="Times New Roman" w:cs="Times New Roman"/>
          <w:sz w:val="24"/>
          <w:szCs w:val="24"/>
        </w:rPr>
        <w:t xml:space="preserve">Tento report navázal na </w:t>
      </w:r>
      <w:r w:rsidRPr="001F3CBB" w:rsidR="00AD4D0F">
        <w:rPr>
          <w:rFonts w:ascii="Times New Roman" w:hAnsi="Times New Roman" w:cs="Times New Roman"/>
          <w:sz w:val="24"/>
          <w:szCs w:val="24"/>
        </w:rPr>
        <w:t>Startup</w:t>
      </w:r>
      <w:r w:rsidRPr="001F3CBB" w:rsidR="00AD4D0F">
        <w:rPr>
          <w:rFonts w:ascii="Times New Roman" w:hAnsi="Times New Roman" w:cs="Times New Roman"/>
          <w:sz w:val="24"/>
          <w:szCs w:val="24"/>
        </w:rPr>
        <w:t xml:space="preserve"> Report 2017</w:t>
      </w:r>
      <w:r w:rsidR="00282A23">
        <w:rPr>
          <w:rFonts w:ascii="Times New Roman" w:hAnsi="Times New Roman" w:cs="Times New Roman"/>
          <w:sz w:val="24"/>
          <w:szCs w:val="24"/>
        </w:rPr>
        <w:t>-</w:t>
      </w:r>
      <w:r w:rsidRPr="001F3CBB" w:rsidR="00AD4D0F">
        <w:rPr>
          <w:rFonts w:ascii="Times New Roman" w:hAnsi="Times New Roman" w:cs="Times New Roman"/>
          <w:sz w:val="24"/>
          <w:szCs w:val="24"/>
        </w:rPr>
        <w:t>2018</w:t>
      </w:r>
      <w:r w:rsidR="00AD4D0F">
        <w:rPr>
          <w:rFonts w:ascii="Times New Roman" w:hAnsi="Times New Roman" w:cs="Times New Roman"/>
          <w:sz w:val="24"/>
          <w:szCs w:val="24"/>
        </w:rPr>
        <w:t xml:space="preserve"> a j</w:t>
      </w:r>
      <w:r w:rsidR="001F3CBB">
        <w:rPr>
          <w:rFonts w:ascii="Times New Roman" w:hAnsi="Times New Roman" w:cs="Times New Roman"/>
          <w:sz w:val="24"/>
          <w:szCs w:val="24"/>
        </w:rPr>
        <w:t xml:space="preserve">e žádoucí, aby byl publikován i nadále, zejména z důvodu zajištění srovnatelnosti sbíraných dat. </w:t>
      </w:r>
      <w:r w:rsidR="002C4A66">
        <w:rPr>
          <w:rFonts w:ascii="Times New Roman" w:hAnsi="Times New Roman" w:cs="Times New Roman"/>
          <w:sz w:val="24"/>
          <w:szCs w:val="24"/>
        </w:rPr>
        <w:t xml:space="preserve">Za účelem kvantifikace počtu fyzických osob v ČR, které mají potenciál stát se business </w:t>
      </w:r>
      <w:r w:rsidR="002C4A66">
        <w:rPr>
          <w:rFonts w:ascii="Times New Roman" w:hAnsi="Times New Roman" w:cs="Times New Roman"/>
          <w:sz w:val="24"/>
          <w:szCs w:val="24"/>
        </w:rPr>
        <w:t>angels</w:t>
      </w:r>
      <w:r w:rsidR="002C4A66">
        <w:rPr>
          <w:rFonts w:ascii="Times New Roman" w:hAnsi="Times New Roman" w:cs="Times New Roman"/>
          <w:sz w:val="24"/>
          <w:szCs w:val="24"/>
        </w:rPr>
        <w:t xml:space="preserve">, byl kontaktován </w:t>
      </w:r>
      <w:r w:rsidR="004105A9">
        <w:rPr>
          <w:rFonts w:ascii="Times New Roman" w:hAnsi="Times New Roman" w:cs="Times New Roman"/>
          <w:sz w:val="24"/>
          <w:szCs w:val="24"/>
        </w:rPr>
        <w:t>Český s</w:t>
      </w:r>
      <w:r w:rsidR="002C4A66">
        <w:rPr>
          <w:rFonts w:ascii="Times New Roman" w:hAnsi="Times New Roman" w:cs="Times New Roman"/>
          <w:sz w:val="24"/>
          <w:szCs w:val="24"/>
        </w:rPr>
        <w:t>tatistický úřad a Generální finanční ředitelství, nicméně ani jeden z nich nedisponuje potřebnými daty. Z diskusí s nimi však vyplynulo, že člověk může být bohatý majetkem nebo příjmem. V návaznosti na to byla konzultována možnost stanovení vhodných kritérií, které by dané osobě umožnily snazší přístup ke složitějším investičním</w:t>
      </w:r>
      <w:r w:rsidR="00894D70">
        <w:rPr>
          <w:rFonts w:ascii="Times New Roman" w:hAnsi="Times New Roman" w:cs="Times New Roman"/>
          <w:sz w:val="24"/>
          <w:szCs w:val="24"/>
        </w:rPr>
        <w:t xml:space="preserve"> nástrojům (typicky ve vztahu k </w:t>
      </w:r>
      <w:r w:rsidR="002C4A66">
        <w:rPr>
          <w:rFonts w:ascii="Times New Roman" w:hAnsi="Times New Roman" w:cs="Times New Roman"/>
          <w:sz w:val="24"/>
          <w:szCs w:val="24"/>
        </w:rPr>
        <w:t xml:space="preserve">akciím a dluhopisům nekótovaných emitentů). </w:t>
      </w:r>
      <w:r w:rsidR="00DD13F0">
        <w:rPr>
          <w:rFonts w:ascii="Times New Roman" w:hAnsi="Times New Roman" w:cs="Times New Roman"/>
          <w:sz w:val="24"/>
          <w:szCs w:val="24"/>
        </w:rPr>
        <w:t>Konkrétně byly navrženy hranice 2,5 mil. Kč ve finančních aktivech nebo 1,25 mil. Kč hrubého příjmu za ro</w:t>
      </w:r>
      <w:r w:rsidR="00894D70">
        <w:rPr>
          <w:rFonts w:ascii="Times New Roman" w:hAnsi="Times New Roman" w:cs="Times New Roman"/>
          <w:sz w:val="24"/>
          <w:szCs w:val="24"/>
        </w:rPr>
        <w:t>k a tento návrh byl rozeslán do </w:t>
      </w:r>
      <w:r>
        <w:fldChar w:fldCharType="begin"/>
      </w:r>
      <w:r>
        <w:instrText xml:space="preserve"> HYPERLINK "https://apps.odok.cz/veklep-detail?pid=ALBSBNGEVNNQ" </w:instrText>
      </w:r>
      <w:r>
        <w:fldChar w:fldCharType="separate"/>
      </w:r>
      <w:r w:rsidRPr="00DD13F0" w:rsidR="00DD13F0">
        <w:rPr>
          <w:rStyle w:val="Hyperlink"/>
          <w:rFonts w:ascii="Times New Roman" w:hAnsi="Times New Roman" w:cs="Times New Roman"/>
          <w:sz w:val="24"/>
          <w:szCs w:val="24"/>
        </w:rPr>
        <w:t>meziresortního připomínkového řízení</w:t>
      </w:r>
      <w:r>
        <w:fldChar w:fldCharType="end"/>
      </w:r>
      <w:r w:rsidR="00385EA2">
        <w:rPr>
          <w:rStyle w:val="Hyperlink"/>
          <w:rFonts w:ascii="Times New Roman" w:hAnsi="Times New Roman" w:cs="Times New Roman"/>
          <w:color w:val="auto"/>
          <w:sz w:val="24"/>
          <w:szCs w:val="24"/>
          <w:u w:val="none"/>
          <w:vertAlign w:val="superscript"/>
        </w:rPr>
        <w:t>43</w:t>
      </w:r>
      <w:r w:rsidRPr="00F261B8" w:rsidR="00385EA2">
        <w:rPr>
          <w:rStyle w:val="Hyperlink"/>
          <w:rFonts w:ascii="Times New Roman" w:hAnsi="Times New Roman" w:cs="Times New Roman"/>
          <w:color w:val="auto"/>
          <w:sz w:val="24"/>
          <w:szCs w:val="24"/>
          <w:u w:val="none"/>
          <w:vertAlign w:val="superscript"/>
        </w:rPr>
        <w:t>)</w:t>
      </w:r>
      <w:r w:rsidR="00DD13F0">
        <w:rPr>
          <w:rFonts w:ascii="Times New Roman" w:hAnsi="Times New Roman" w:cs="Times New Roman"/>
          <w:sz w:val="24"/>
          <w:szCs w:val="24"/>
        </w:rPr>
        <w:t xml:space="preserve">, nicméně v rámci vypořádání připomínek se v tomto </w:t>
      </w:r>
      <w:r w:rsidR="00282A23">
        <w:rPr>
          <w:rFonts w:ascii="Times New Roman" w:hAnsi="Times New Roman" w:cs="Times New Roman"/>
          <w:sz w:val="24"/>
          <w:szCs w:val="24"/>
        </w:rPr>
        <w:t xml:space="preserve">ohledu </w:t>
      </w:r>
      <w:r w:rsidR="00DD13F0">
        <w:rPr>
          <w:rFonts w:ascii="Times New Roman" w:hAnsi="Times New Roman" w:cs="Times New Roman"/>
          <w:sz w:val="24"/>
          <w:szCs w:val="24"/>
        </w:rPr>
        <w:t>nepodařilo nalézt shodu, a proto bylo prozatím od tohoto záměru upuštěno</w:t>
      </w:r>
      <w:r w:rsidR="00894D70">
        <w:rPr>
          <w:rFonts w:ascii="Times New Roman" w:hAnsi="Times New Roman" w:cs="Times New Roman"/>
          <w:sz w:val="24"/>
          <w:szCs w:val="24"/>
        </w:rPr>
        <w:t xml:space="preserve"> (i s ohledem na </w:t>
      </w:r>
      <w:r w:rsidR="00B23516">
        <w:rPr>
          <w:rFonts w:ascii="Times New Roman" w:hAnsi="Times New Roman" w:cs="Times New Roman"/>
          <w:sz w:val="24"/>
          <w:szCs w:val="24"/>
        </w:rPr>
        <w:t>plánovanou revizi definice profesionálního zákazníka v</w:t>
      </w:r>
      <w:r w:rsidR="00282A23">
        <w:rPr>
          <w:rFonts w:ascii="Times New Roman" w:hAnsi="Times New Roman" w:cs="Times New Roman"/>
          <w:sz w:val="24"/>
          <w:szCs w:val="24"/>
        </w:rPr>
        <w:t> </w:t>
      </w:r>
      <w:r w:rsidR="00B23516">
        <w:rPr>
          <w:rFonts w:ascii="Times New Roman" w:hAnsi="Times New Roman" w:cs="Times New Roman"/>
          <w:sz w:val="24"/>
          <w:szCs w:val="24"/>
        </w:rPr>
        <w:t>právu E</w:t>
      </w:r>
      <w:r w:rsidR="00282A23">
        <w:rPr>
          <w:rFonts w:ascii="Times New Roman" w:hAnsi="Times New Roman" w:cs="Times New Roman"/>
          <w:sz w:val="24"/>
          <w:szCs w:val="24"/>
        </w:rPr>
        <w:t>U</w:t>
      </w:r>
      <w:r w:rsidR="00B23516">
        <w:rPr>
          <w:rFonts w:ascii="Times New Roman" w:hAnsi="Times New Roman" w:cs="Times New Roman"/>
          <w:sz w:val="24"/>
          <w:szCs w:val="24"/>
        </w:rPr>
        <w:t>)</w:t>
      </w:r>
      <w:r w:rsidR="00DD13F0">
        <w:rPr>
          <w:rFonts w:ascii="Times New Roman" w:hAnsi="Times New Roman" w:cs="Times New Roman"/>
          <w:sz w:val="24"/>
          <w:szCs w:val="24"/>
        </w:rPr>
        <w:t>.</w:t>
      </w:r>
      <w:r w:rsidR="00A36A92">
        <w:rPr>
          <w:rFonts w:ascii="Times New Roman" w:hAnsi="Times New Roman" w:cs="Times New Roman"/>
          <w:sz w:val="24"/>
          <w:szCs w:val="24"/>
        </w:rPr>
        <w:t xml:space="preserve"> </w:t>
      </w:r>
      <w:r w:rsidR="00B23516">
        <w:rPr>
          <w:rFonts w:ascii="Times New Roman" w:hAnsi="Times New Roman" w:cs="Times New Roman"/>
          <w:sz w:val="24"/>
          <w:szCs w:val="24"/>
        </w:rPr>
        <w:t>Vytvoření kategorie tzv. majetného investora formou prohlášení bylo snahou o</w:t>
      </w:r>
      <w:r w:rsidR="00282A23">
        <w:rPr>
          <w:rFonts w:ascii="Times New Roman" w:hAnsi="Times New Roman" w:cs="Times New Roman"/>
          <w:sz w:val="24"/>
          <w:szCs w:val="24"/>
        </w:rPr>
        <w:t> </w:t>
      </w:r>
      <w:r w:rsidR="00B23516">
        <w:rPr>
          <w:rFonts w:ascii="Times New Roman" w:hAnsi="Times New Roman" w:cs="Times New Roman"/>
          <w:sz w:val="24"/>
          <w:szCs w:val="24"/>
        </w:rPr>
        <w:t xml:space="preserve">zavedení </w:t>
      </w:r>
      <w:r w:rsidR="00B23516">
        <w:rPr>
          <w:rFonts w:ascii="Times New Roman" w:hAnsi="Times New Roman" w:cs="Times New Roman"/>
          <w:sz w:val="24"/>
          <w:szCs w:val="24"/>
        </w:rPr>
        <w:t>sebecertifikace</w:t>
      </w:r>
      <w:r w:rsidR="00B23516">
        <w:rPr>
          <w:rFonts w:ascii="Times New Roman" w:hAnsi="Times New Roman" w:cs="Times New Roman"/>
          <w:sz w:val="24"/>
          <w:szCs w:val="24"/>
        </w:rPr>
        <w:t>, nicméně z hlediska ochrany investora vznikaly pochyby</w:t>
      </w:r>
      <w:r w:rsidR="00894D70">
        <w:rPr>
          <w:rFonts w:ascii="Times New Roman" w:hAnsi="Times New Roman" w:cs="Times New Roman"/>
          <w:sz w:val="24"/>
          <w:szCs w:val="24"/>
        </w:rPr>
        <w:t>, zda by nemohlo docházet k </w:t>
      </w:r>
      <w:r w:rsidR="00766834">
        <w:rPr>
          <w:rFonts w:ascii="Times New Roman" w:hAnsi="Times New Roman" w:cs="Times New Roman"/>
          <w:sz w:val="24"/>
          <w:szCs w:val="24"/>
        </w:rPr>
        <w:t xml:space="preserve">manipulaci investorů ve vztahu k tomuto prohlášení a zda by neměly být údaje z prohlášení někým ověřovány. </w:t>
      </w:r>
      <w:r w:rsidR="00A36A92">
        <w:rPr>
          <w:rFonts w:ascii="Times New Roman" w:hAnsi="Times New Roman" w:cs="Times New Roman"/>
          <w:sz w:val="24"/>
          <w:szCs w:val="24"/>
        </w:rPr>
        <w:t xml:space="preserve">Ve vztahu k business </w:t>
      </w:r>
      <w:r w:rsidR="00A36A92">
        <w:rPr>
          <w:rFonts w:ascii="Times New Roman" w:hAnsi="Times New Roman" w:cs="Times New Roman"/>
          <w:sz w:val="24"/>
          <w:szCs w:val="24"/>
        </w:rPr>
        <w:t>angels</w:t>
      </w:r>
      <w:r w:rsidR="00A36A92">
        <w:rPr>
          <w:rFonts w:ascii="Times New Roman" w:hAnsi="Times New Roman" w:cs="Times New Roman"/>
          <w:sz w:val="24"/>
          <w:szCs w:val="24"/>
        </w:rPr>
        <w:t xml:space="preserve"> se </w:t>
      </w:r>
      <w:r w:rsidR="00766834">
        <w:rPr>
          <w:rFonts w:ascii="Times New Roman" w:hAnsi="Times New Roman" w:cs="Times New Roman"/>
          <w:sz w:val="24"/>
          <w:szCs w:val="24"/>
        </w:rPr>
        <w:t xml:space="preserve">nicméně </w:t>
      </w:r>
      <w:r w:rsidR="00A36A92">
        <w:rPr>
          <w:rFonts w:ascii="Times New Roman" w:hAnsi="Times New Roman" w:cs="Times New Roman"/>
          <w:sz w:val="24"/>
          <w:szCs w:val="24"/>
        </w:rPr>
        <w:t>předpokládá potřeba většího majetku</w:t>
      </w:r>
      <w:r w:rsidR="00766834">
        <w:rPr>
          <w:rFonts w:ascii="Times New Roman" w:hAnsi="Times New Roman" w:cs="Times New Roman"/>
          <w:sz w:val="24"/>
          <w:szCs w:val="24"/>
        </w:rPr>
        <w:t xml:space="preserve"> než 2,5 mil. Kč</w:t>
      </w:r>
      <w:r w:rsidR="00A36A92">
        <w:rPr>
          <w:rFonts w:ascii="Times New Roman" w:hAnsi="Times New Roman" w:cs="Times New Roman"/>
          <w:sz w:val="24"/>
          <w:szCs w:val="24"/>
        </w:rPr>
        <w:t xml:space="preserve">, a to přibližně ve výši 1 mil. USD. Dle každoroční zprávy </w:t>
      </w:r>
      <w:r>
        <w:fldChar w:fldCharType="begin"/>
      </w:r>
      <w:r>
        <w:instrText xml:space="preserve"> HYPERLINK "http://solution.capgemini.cz/capgemini-reporty/capgemini-world-wealth-report-2019/" </w:instrText>
      </w:r>
      <w:r>
        <w:fldChar w:fldCharType="separate"/>
      </w:r>
      <w:r w:rsidRPr="00FC2C85" w:rsidR="00A36A92">
        <w:rPr>
          <w:rStyle w:val="Hyperlink"/>
          <w:rFonts w:ascii="Times New Roman" w:hAnsi="Times New Roman" w:cs="Times New Roman"/>
          <w:sz w:val="24"/>
          <w:szCs w:val="24"/>
        </w:rPr>
        <w:t>Capgemini</w:t>
      </w:r>
      <w:r w:rsidRPr="00FC2C85" w:rsidR="00A36A92">
        <w:rPr>
          <w:rStyle w:val="Hyperlink"/>
          <w:rFonts w:ascii="Times New Roman" w:hAnsi="Times New Roman" w:cs="Times New Roman"/>
          <w:sz w:val="24"/>
          <w:szCs w:val="24"/>
        </w:rPr>
        <w:t xml:space="preserve"> </w:t>
      </w:r>
      <w:r w:rsidRPr="00FC2C85" w:rsidR="00FC2C85">
        <w:rPr>
          <w:rStyle w:val="Hyperlink"/>
          <w:rFonts w:ascii="Times New Roman" w:hAnsi="Times New Roman" w:cs="Times New Roman"/>
          <w:sz w:val="24"/>
          <w:szCs w:val="24"/>
        </w:rPr>
        <w:t>World</w:t>
      </w:r>
      <w:r w:rsidRPr="00FC2C85" w:rsidR="00FC2C85">
        <w:rPr>
          <w:rStyle w:val="Hyperlink"/>
          <w:rFonts w:ascii="Times New Roman" w:hAnsi="Times New Roman" w:cs="Times New Roman"/>
          <w:sz w:val="24"/>
          <w:szCs w:val="24"/>
        </w:rPr>
        <w:t xml:space="preserve"> </w:t>
      </w:r>
      <w:r w:rsidRPr="00FC2C85" w:rsidR="00FC2C85">
        <w:rPr>
          <w:rStyle w:val="Hyperlink"/>
          <w:rFonts w:ascii="Times New Roman" w:hAnsi="Times New Roman" w:cs="Times New Roman"/>
          <w:sz w:val="24"/>
          <w:szCs w:val="24"/>
        </w:rPr>
        <w:t>Wealth</w:t>
      </w:r>
      <w:r w:rsidRPr="00FC2C85" w:rsidR="00FC2C85">
        <w:rPr>
          <w:rStyle w:val="Hyperlink"/>
          <w:rFonts w:ascii="Times New Roman" w:hAnsi="Times New Roman" w:cs="Times New Roman"/>
          <w:sz w:val="24"/>
          <w:szCs w:val="24"/>
        </w:rPr>
        <w:t xml:space="preserve"> Report</w:t>
      </w:r>
      <w:r>
        <w:fldChar w:fldCharType="end"/>
      </w:r>
      <w:r w:rsidR="00385EA2">
        <w:rPr>
          <w:rStyle w:val="Hyperlink"/>
          <w:rFonts w:ascii="Times New Roman" w:hAnsi="Times New Roman" w:cs="Times New Roman"/>
          <w:color w:val="auto"/>
          <w:sz w:val="24"/>
          <w:szCs w:val="24"/>
          <w:u w:val="none"/>
          <w:vertAlign w:val="superscript"/>
        </w:rPr>
        <w:t>44</w:t>
      </w:r>
      <w:r w:rsidRPr="00F261B8" w:rsidR="00385EA2">
        <w:rPr>
          <w:rStyle w:val="Hyperlink"/>
          <w:rFonts w:ascii="Times New Roman" w:hAnsi="Times New Roman" w:cs="Times New Roman"/>
          <w:color w:val="auto"/>
          <w:sz w:val="24"/>
          <w:szCs w:val="24"/>
          <w:u w:val="none"/>
          <w:vertAlign w:val="superscript"/>
        </w:rPr>
        <w:t>)</w:t>
      </w:r>
      <w:r w:rsidR="00FC2C85">
        <w:rPr>
          <w:rFonts w:ascii="Times New Roman" w:hAnsi="Times New Roman" w:cs="Times New Roman"/>
          <w:sz w:val="24"/>
          <w:szCs w:val="24"/>
        </w:rPr>
        <w:t xml:space="preserve"> </w:t>
      </w:r>
      <w:r w:rsidR="00A36A92">
        <w:rPr>
          <w:rFonts w:ascii="Times New Roman" w:hAnsi="Times New Roman" w:cs="Times New Roman"/>
          <w:sz w:val="24"/>
          <w:szCs w:val="24"/>
        </w:rPr>
        <w:t xml:space="preserve">se předpokládá, že v ČR je přibližně </w:t>
      </w:r>
      <w:r>
        <w:fldChar w:fldCharType="begin"/>
      </w:r>
      <w:r>
        <w:instrText xml:space="preserve"> HYPERLINK "https://www.seznamzpravy.cz/clanek/v-cesku-zije-pres-30-tisic-dolarovych-milionaru-co-delaji-s-penezi-67003" </w:instrText>
      </w:r>
      <w:r>
        <w:fldChar w:fldCharType="separate"/>
      </w:r>
      <w:r w:rsidRPr="00A36A92" w:rsidR="00A36A92">
        <w:rPr>
          <w:rStyle w:val="Hyperlink"/>
          <w:rFonts w:ascii="Times New Roman" w:hAnsi="Times New Roman" w:cs="Times New Roman"/>
          <w:sz w:val="24"/>
          <w:szCs w:val="24"/>
        </w:rPr>
        <w:t>30 tisíc dolarových milionářů</w:t>
      </w:r>
      <w:r>
        <w:fldChar w:fldCharType="end"/>
      </w:r>
      <w:r w:rsidR="00385EA2">
        <w:rPr>
          <w:rStyle w:val="Hyperlink"/>
          <w:rFonts w:ascii="Times New Roman" w:hAnsi="Times New Roman" w:cs="Times New Roman"/>
          <w:color w:val="auto"/>
          <w:sz w:val="24"/>
          <w:szCs w:val="24"/>
          <w:u w:val="none"/>
          <w:vertAlign w:val="superscript"/>
        </w:rPr>
        <w:t>45</w:t>
      </w:r>
      <w:r w:rsidRPr="00F261B8" w:rsidR="00385EA2">
        <w:rPr>
          <w:rStyle w:val="Hyperlink"/>
          <w:rFonts w:ascii="Times New Roman" w:hAnsi="Times New Roman" w:cs="Times New Roman"/>
          <w:color w:val="auto"/>
          <w:sz w:val="24"/>
          <w:szCs w:val="24"/>
          <w:u w:val="none"/>
          <w:vertAlign w:val="superscript"/>
        </w:rPr>
        <w:t>)</w:t>
      </w:r>
      <w:r w:rsidR="00A36A92">
        <w:rPr>
          <w:rFonts w:ascii="Times New Roman" w:hAnsi="Times New Roman" w:cs="Times New Roman"/>
          <w:sz w:val="24"/>
          <w:szCs w:val="24"/>
        </w:rPr>
        <w:t xml:space="preserve">. Tyto osoby mají potenciál stát se business </w:t>
      </w:r>
      <w:r w:rsidR="00A36A92">
        <w:rPr>
          <w:rFonts w:ascii="Times New Roman" w:hAnsi="Times New Roman" w:cs="Times New Roman"/>
          <w:sz w:val="24"/>
          <w:szCs w:val="24"/>
        </w:rPr>
        <w:t>angels</w:t>
      </w:r>
      <w:r w:rsidR="00FC2C85">
        <w:rPr>
          <w:rFonts w:ascii="Times New Roman" w:hAnsi="Times New Roman" w:cs="Times New Roman"/>
          <w:sz w:val="24"/>
          <w:szCs w:val="24"/>
        </w:rPr>
        <w:t>, nicméně nelze očekávat, že každý z nich</w:t>
      </w:r>
      <w:r w:rsidR="00600D0C">
        <w:rPr>
          <w:rFonts w:ascii="Times New Roman" w:hAnsi="Times New Roman" w:cs="Times New Roman"/>
          <w:sz w:val="24"/>
          <w:szCs w:val="24"/>
        </w:rPr>
        <w:t xml:space="preserve"> bude mít o tento způsob investování zájem</w:t>
      </w:r>
      <w:r w:rsidR="00FC2C85">
        <w:rPr>
          <w:rFonts w:ascii="Times New Roman" w:hAnsi="Times New Roman" w:cs="Times New Roman"/>
          <w:sz w:val="24"/>
          <w:szCs w:val="24"/>
        </w:rPr>
        <w:t xml:space="preserve">. Podrobnější analýzu českých </w:t>
      </w:r>
      <w:r w:rsidR="00B23516">
        <w:rPr>
          <w:rFonts w:ascii="Times New Roman" w:hAnsi="Times New Roman" w:cs="Times New Roman"/>
          <w:sz w:val="24"/>
          <w:szCs w:val="24"/>
        </w:rPr>
        <w:t xml:space="preserve">a slovenských </w:t>
      </w:r>
      <w:r w:rsidR="00FC2C85">
        <w:rPr>
          <w:rFonts w:ascii="Times New Roman" w:hAnsi="Times New Roman" w:cs="Times New Roman"/>
          <w:sz w:val="24"/>
          <w:szCs w:val="24"/>
        </w:rPr>
        <w:t xml:space="preserve">dolarových milionářů provádí </w:t>
      </w:r>
      <w:r>
        <w:fldChar w:fldCharType="begin"/>
      </w:r>
      <w:r>
        <w:instrText xml:space="preserve"> HYPERLINK "https://www.jt-wr.com/" </w:instrText>
      </w:r>
      <w:r>
        <w:fldChar w:fldCharType="separate"/>
      </w:r>
      <w:r w:rsidRPr="00FC2C85" w:rsidR="00FC2C85">
        <w:rPr>
          <w:rStyle w:val="Hyperlink"/>
          <w:rFonts w:ascii="Times New Roman" w:hAnsi="Times New Roman" w:cs="Times New Roman"/>
          <w:sz w:val="24"/>
          <w:szCs w:val="24"/>
        </w:rPr>
        <w:t xml:space="preserve">J&amp;T BANKA </w:t>
      </w:r>
      <w:r w:rsidRPr="00FC2C85" w:rsidR="00FC2C85">
        <w:rPr>
          <w:rStyle w:val="Hyperlink"/>
          <w:rFonts w:ascii="Times New Roman" w:hAnsi="Times New Roman" w:cs="Times New Roman"/>
          <w:sz w:val="24"/>
          <w:szCs w:val="24"/>
        </w:rPr>
        <w:t>Wealth</w:t>
      </w:r>
      <w:r w:rsidRPr="00FC2C85" w:rsidR="00FC2C85">
        <w:rPr>
          <w:rStyle w:val="Hyperlink"/>
          <w:rFonts w:ascii="Times New Roman" w:hAnsi="Times New Roman" w:cs="Times New Roman"/>
          <w:sz w:val="24"/>
          <w:szCs w:val="24"/>
        </w:rPr>
        <w:t xml:space="preserve"> report</w:t>
      </w:r>
      <w:r>
        <w:fldChar w:fldCharType="end"/>
      </w:r>
      <w:r w:rsidR="00385EA2">
        <w:rPr>
          <w:rStyle w:val="Hyperlink"/>
          <w:rFonts w:ascii="Times New Roman" w:hAnsi="Times New Roman" w:cs="Times New Roman"/>
          <w:color w:val="auto"/>
          <w:sz w:val="24"/>
          <w:szCs w:val="24"/>
          <w:u w:val="none"/>
          <w:vertAlign w:val="superscript"/>
        </w:rPr>
        <w:t>46</w:t>
      </w:r>
      <w:r w:rsidRPr="00F261B8" w:rsidR="00385EA2">
        <w:rPr>
          <w:rStyle w:val="Hyperlink"/>
          <w:rFonts w:ascii="Times New Roman" w:hAnsi="Times New Roman" w:cs="Times New Roman"/>
          <w:color w:val="auto"/>
          <w:sz w:val="24"/>
          <w:szCs w:val="24"/>
          <w:u w:val="none"/>
          <w:vertAlign w:val="superscript"/>
        </w:rPr>
        <w:t>)</w:t>
      </w:r>
      <w:r w:rsidR="00B23516">
        <w:rPr>
          <w:rFonts w:ascii="Times New Roman" w:hAnsi="Times New Roman" w:cs="Times New Roman"/>
          <w:sz w:val="24"/>
          <w:szCs w:val="24"/>
        </w:rPr>
        <w:t xml:space="preserve">, který je publikován </w:t>
      </w:r>
      <w:r>
        <w:fldChar w:fldCharType="begin"/>
      </w:r>
      <w:r>
        <w:instrText xml:space="preserve"> HYPERLINK "https://www.jtbanka.sk/o-banke/wealth-report/" </w:instrText>
      </w:r>
      <w:r>
        <w:fldChar w:fldCharType="separate"/>
      </w:r>
      <w:r w:rsidRPr="00600D0C" w:rsidR="00B23516">
        <w:rPr>
          <w:rStyle w:val="Hyperlink"/>
          <w:rFonts w:ascii="Times New Roman" w:hAnsi="Times New Roman" w:cs="Times New Roman"/>
          <w:sz w:val="24"/>
          <w:szCs w:val="24"/>
        </w:rPr>
        <w:t>od roku 2011</w:t>
      </w:r>
      <w:r>
        <w:fldChar w:fldCharType="end"/>
      </w:r>
      <w:r w:rsidR="00385EA2">
        <w:rPr>
          <w:rStyle w:val="Hyperlink"/>
          <w:rFonts w:ascii="Times New Roman" w:hAnsi="Times New Roman" w:cs="Times New Roman"/>
          <w:color w:val="auto"/>
          <w:sz w:val="24"/>
          <w:szCs w:val="24"/>
          <w:u w:val="none"/>
          <w:vertAlign w:val="superscript"/>
        </w:rPr>
        <w:t>47</w:t>
      </w:r>
      <w:r w:rsidRPr="00F261B8" w:rsidR="00385EA2">
        <w:rPr>
          <w:rStyle w:val="Hyperlink"/>
          <w:rFonts w:ascii="Times New Roman" w:hAnsi="Times New Roman" w:cs="Times New Roman"/>
          <w:color w:val="auto"/>
          <w:sz w:val="24"/>
          <w:szCs w:val="24"/>
          <w:u w:val="none"/>
          <w:vertAlign w:val="superscript"/>
        </w:rPr>
        <w:t>)</w:t>
      </w:r>
      <w:r w:rsidR="00B23516">
        <w:rPr>
          <w:rFonts w:ascii="Times New Roman" w:hAnsi="Times New Roman" w:cs="Times New Roman"/>
          <w:sz w:val="24"/>
          <w:szCs w:val="24"/>
        </w:rPr>
        <w:t>.</w:t>
      </w:r>
      <w:r w:rsidR="00600D0C">
        <w:rPr>
          <w:rFonts w:ascii="Times New Roman" w:hAnsi="Times New Roman" w:cs="Times New Roman"/>
          <w:sz w:val="24"/>
          <w:szCs w:val="24"/>
        </w:rPr>
        <w:t xml:space="preserve"> Z aktuálních údajů vyplývá, že přibližně </w:t>
      </w:r>
      <w:r>
        <w:fldChar w:fldCharType="begin"/>
      </w:r>
      <w:r>
        <w:instrText xml:space="preserve"> HYPERLINK "https://www.jt-wr.com/investice" </w:instrText>
      </w:r>
      <w:r>
        <w:fldChar w:fldCharType="separate"/>
      </w:r>
      <w:r w:rsidRPr="00776F03" w:rsidR="00776F03">
        <w:rPr>
          <w:rStyle w:val="Hyperlink"/>
          <w:rFonts w:ascii="Times New Roman" w:hAnsi="Times New Roman" w:cs="Times New Roman"/>
          <w:sz w:val="24"/>
          <w:szCs w:val="24"/>
        </w:rPr>
        <w:t>18 % českých</w:t>
      </w:r>
      <w:r w:rsidRPr="00776F03" w:rsidR="00600D0C">
        <w:rPr>
          <w:rStyle w:val="Hyperlink"/>
          <w:rFonts w:ascii="Times New Roman" w:hAnsi="Times New Roman" w:cs="Times New Roman"/>
          <w:sz w:val="24"/>
          <w:szCs w:val="24"/>
        </w:rPr>
        <w:t xml:space="preserve"> dolarových milionářů</w:t>
      </w:r>
      <w:r>
        <w:fldChar w:fldCharType="end"/>
      </w:r>
      <w:r w:rsidR="00385EA2">
        <w:rPr>
          <w:rStyle w:val="Hyperlink"/>
          <w:rFonts w:ascii="Times New Roman" w:hAnsi="Times New Roman" w:cs="Times New Roman"/>
          <w:color w:val="auto"/>
          <w:sz w:val="24"/>
          <w:szCs w:val="24"/>
          <w:u w:val="none"/>
          <w:vertAlign w:val="superscript"/>
        </w:rPr>
        <w:t>48</w:t>
      </w:r>
      <w:r w:rsidRPr="00F261B8" w:rsidR="00385EA2">
        <w:rPr>
          <w:rStyle w:val="Hyperlink"/>
          <w:rFonts w:ascii="Times New Roman" w:hAnsi="Times New Roman" w:cs="Times New Roman"/>
          <w:color w:val="auto"/>
          <w:sz w:val="24"/>
          <w:szCs w:val="24"/>
          <w:u w:val="none"/>
          <w:vertAlign w:val="superscript"/>
        </w:rPr>
        <w:t>)</w:t>
      </w:r>
      <w:r w:rsidR="00600D0C">
        <w:rPr>
          <w:rFonts w:ascii="Times New Roman" w:hAnsi="Times New Roman" w:cs="Times New Roman"/>
          <w:sz w:val="24"/>
          <w:szCs w:val="24"/>
        </w:rPr>
        <w:t xml:space="preserve"> má zájem o investice do start-</w:t>
      </w:r>
      <w:r w:rsidR="00600D0C">
        <w:rPr>
          <w:rFonts w:ascii="Times New Roman" w:hAnsi="Times New Roman" w:cs="Times New Roman"/>
          <w:sz w:val="24"/>
          <w:szCs w:val="24"/>
        </w:rPr>
        <w:t>upů</w:t>
      </w:r>
      <w:r w:rsidR="00600D0C">
        <w:rPr>
          <w:rFonts w:ascii="Times New Roman" w:hAnsi="Times New Roman" w:cs="Times New Roman"/>
          <w:sz w:val="24"/>
          <w:szCs w:val="24"/>
        </w:rPr>
        <w:t>.</w:t>
      </w:r>
    </w:p>
    <w:p w:rsidR="00776F03" w:rsidP="00867155">
      <w:pPr>
        <w:spacing w:before="120" w:after="120" w:line="240" w:lineRule="auto"/>
        <w:jc w:val="center"/>
        <w:rPr>
          <w:rFonts w:ascii="Times New Roman" w:hAnsi="Times New Roman" w:cs="Times New Roman"/>
          <w:b/>
          <w:bCs/>
          <w:i/>
          <w:sz w:val="24"/>
          <w:szCs w:val="24"/>
        </w:rPr>
      </w:pPr>
      <w:r w:rsidRPr="00B57F5F">
        <w:rPr>
          <w:rFonts w:ascii="Times New Roman" w:hAnsi="Times New Roman" w:cs="Times New Roman"/>
          <w:b/>
          <w:bCs/>
          <w:i/>
          <w:sz w:val="24"/>
          <w:szCs w:val="24"/>
        </w:rPr>
        <w:t xml:space="preserve">9) Analýza možností rozvoje investičního </w:t>
      </w:r>
      <w:r w:rsidRPr="00B57F5F">
        <w:rPr>
          <w:rFonts w:ascii="Times New Roman" w:hAnsi="Times New Roman" w:cs="Times New Roman"/>
          <w:b/>
          <w:bCs/>
          <w:i/>
          <w:sz w:val="24"/>
          <w:szCs w:val="24"/>
        </w:rPr>
        <w:t>crowdfundingu</w:t>
      </w:r>
      <w:r w:rsidRPr="00B57F5F">
        <w:rPr>
          <w:rFonts w:ascii="Times New Roman" w:hAnsi="Times New Roman" w:cs="Times New Roman"/>
          <w:b/>
          <w:bCs/>
          <w:i/>
          <w:sz w:val="24"/>
          <w:szCs w:val="24"/>
        </w:rPr>
        <w:t xml:space="preserve"> v České republice</w:t>
      </w:r>
    </w:p>
    <w:tbl>
      <w:tblPr>
        <w:tblStyle w:val="Mkatabulky4"/>
        <w:tblW w:w="0" w:type="auto"/>
        <w:shd w:val="solid" w:color="auto" w:fill="auto"/>
        <w:tblLook w:val="04A0"/>
      </w:tblPr>
      <w:tblGrid>
        <w:gridCol w:w="5269"/>
        <w:gridCol w:w="2662"/>
        <w:gridCol w:w="1131"/>
      </w:tblGrid>
      <w:tr w:rsidTr="00820E67">
        <w:tblPrEx>
          <w:tblW w:w="0" w:type="auto"/>
          <w:shd w:val="solid" w:color="auto" w:fill="auto"/>
          <w:tblLook w:val="04A0"/>
        </w:tblPrEx>
        <w:tc>
          <w:tcPr>
            <w:tcW w:w="5353" w:type="dxa"/>
            <w:shd w:val="clear" w:color="auto" w:fill="002060"/>
          </w:tcPr>
          <w:p w:rsidR="00B57F5F"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B57F5F"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B57F5F"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ook w:val="04A0"/>
        </w:tblPrEx>
        <w:trPr>
          <w:trHeight w:val="679"/>
        </w:trPr>
        <w:tc>
          <w:tcPr>
            <w:tcW w:w="5353" w:type="dxa"/>
            <w:shd w:val="clear" w:color="auto" w:fill="auto"/>
          </w:tcPr>
          <w:p w:rsidR="00B57F5F" w:rsidRPr="00867155" w:rsidP="00820E67">
            <w:pPr>
              <w:spacing w:after="200" w:line="276" w:lineRule="auto"/>
              <w:rPr>
                <w:rFonts w:ascii="Times New Roman" w:hAnsi="Times New Roman" w:cs="Times New Roman"/>
                <w:sz w:val="20"/>
                <w:szCs w:val="20"/>
              </w:rPr>
            </w:pPr>
            <w:r w:rsidRPr="00867155">
              <w:rPr>
                <w:rFonts w:ascii="Times New Roman" w:hAnsi="Times New Roman" w:cs="Times New Roman"/>
                <w:sz w:val="20"/>
                <w:szCs w:val="20"/>
              </w:rPr>
              <w:t xml:space="preserve">Analyzovat možnosti rozvoje investičního </w:t>
            </w:r>
            <w:r w:rsidRPr="00867155">
              <w:rPr>
                <w:rFonts w:ascii="Times New Roman" w:hAnsi="Times New Roman" w:cs="Times New Roman"/>
                <w:i/>
                <w:sz w:val="20"/>
                <w:szCs w:val="20"/>
              </w:rPr>
              <w:t>crowdfundingu</w:t>
            </w:r>
            <w:r w:rsidRPr="00867155">
              <w:rPr>
                <w:rFonts w:ascii="Times New Roman" w:hAnsi="Times New Roman" w:cs="Times New Roman"/>
                <w:sz w:val="20"/>
                <w:szCs w:val="20"/>
              </w:rPr>
              <w:t xml:space="preserve"> v ČR a případně navrhnout další opatření</w:t>
            </w:r>
          </w:p>
        </w:tc>
        <w:tc>
          <w:tcPr>
            <w:tcW w:w="2693" w:type="dxa"/>
            <w:shd w:val="clear" w:color="auto" w:fill="auto"/>
          </w:tcPr>
          <w:p w:rsidR="00B57F5F"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 xml:space="preserve">MF, MPO, </w:t>
            </w:r>
            <w:r w:rsidRPr="00867155">
              <w:rPr>
                <w:rFonts w:ascii="Times New Roman" w:hAnsi="Times New Roman" w:cs="Times New Roman"/>
                <w:sz w:val="20"/>
                <w:szCs w:val="20"/>
              </w:rPr>
              <w:t>Fundlift</w:t>
            </w:r>
            <w:r w:rsidRPr="00867155">
              <w:rPr>
                <w:rFonts w:ascii="Times New Roman" w:hAnsi="Times New Roman" w:cs="Times New Roman"/>
                <w:sz w:val="20"/>
                <w:szCs w:val="20"/>
              </w:rPr>
              <w:t xml:space="preserve">, Česká </w:t>
            </w:r>
            <w:r w:rsidRPr="00867155">
              <w:rPr>
                <w:rFonts w:ascii="Times New Roman" w:hAnsi="Times New Roman" w:cs="Times New Roman"/>
                <w:sz w:val="20"/>
                <w:szCs w:val="20"/>
              </w:rPr>
              <w:t>fintech</w:t>
            </w:r>
            <w:r w:rsidRPr="00867155">
              <w:rPr>
                <w:rFonts w:ascii="Times New Roman" w:hAnsi="Times New Roman" w:cs="Times New Roman"/>
                <w:sz w:val="20"/>
                <w:szCs w:val="20"/>
              </w:rPr>
              <w:t xml:space="preserve"> asociace</w:t>
            </w:r>
          </w:p>
        </w:tc>
        <w:tc>
          <w:tcPr>
            <w:tcW w:w="1134" w:type="dxa"/>
            <w:shd w:val="clear" w:color="auto" w:fill="auto"/>
          </w:tcPr>
          <w:p w:rsidR="00B57F5F"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B57F5F" w:rsidRPr="00B57F5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Úředním věstníku EU bylo 20. </w:t>
      </w:r>
      <w:r w:rsidR="00282A23">
        <w:rPr>
          <w:rFonts w:ascii="Times New Roman" w:hAnsi="Times New Roman" w:cs="Times New Roman"/>
          <w:sz w:val="24"/>
          <w:szCs w:val="24"/>
        </w:rPr>
        <w:t xml:space="preserve">10. </w:t>
      </w:r>
      <w:r>
        <w:rPr>
          <w:rFonts w:ascii="Times New Roman" w:hAnsi="Times New Roman" w:cs="Times New Roman"/>
          <w:sz w:val="24"/>
          <w:szCs w:val="24"/>
        </w:rPr>
        <w:t xml:space="preserve">2020 publikováno nařízení o evropských </w:t>
      </w:r>
      <w:r w:rsidRPr="007F0D2C">
        <w:rPr>
          <w:rFonts w:ascii="Times New Roman" w:hAnsi="Times New Roman" w:cs="Times New Roman"/>
          <w:sz w:val="24"/>
          <w:szCs w:val="24"/>
        </w:rPr>
        <w:t>poskytovatelích služeb skupinového financování pro podniky</w:t>
      </w:r>
      <w:r>
        <w:rPr>
          <w:rFonts w:ascii="Times New Roman" w:hAnsi="Times New Roman" w:cs="Times New Roman"/>
          <w:sz w:val="24"/>
          <w:szCs w:val="24"/>
        </w:rPr>
        <w:t xml:space="preserve"> (</w:t>
      </w:r>
      <w:r>
        <w:fldChar w:fldCharType="begin"/>
      </w:r>
      <w:r>
        <w:instrText xml:space="preserve"> HYPERLINK "https://eur-lex.europa.eu/legal-content/CS/TXT/?uri=CELEX:32020R1503" </w:instrText>
      </w:r>
      <w:r>
        <w:fldChar w:fldCharType="separate"/>
      </w:r>
      <w:r w:rsidRPr="007F0D2C">
        <w:rPr>
          <w:rStyle w:val="Hyperlink"/>
          <w:rFonts w:ascii="Times New Roman" w:hAnsi="Times New Roman" w:cs="Times New Roman"/>
          <w:sz w:val="24"/>
          <w:szCs w:val="24"/>
        </w:rPr>
        <w:t>2020/1503</w:t>
      </w:r>
      <w:r>
        <w:fldChar w:fldCharType="end"/>
      </w:r>
      <w:r w:rsidR="00385EA2">
        <w:rPr>
          <w:rStyle w:val="Hyperlink"/>
          <w:rFonts w:ascii="Times New Roman" w:hAnsi="Times New Roman" w:cs="Times New Roman"/>
          <w:color w:val="auto"/>
          <w:sz w:val="24"/>
          <w:szCs w:val="24"/>
          <w:u w:val="none"/>
          <w:vertAlign w:val="superscript"/>
        </w:rPr>
        <w:t>49</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které upravuje i</w:t>
      </w:r>
      <w:r w:rsidR="00282A23">
        <w:rPr>
          <w:rFonts w:ascii="Times New Roman" w:hAnsi="Times New Roman" w:cs="Times New Roman"/>
          <w:sz w:val="24"/>
          <w:szCs w:val="24"/>
        </w:rPr>
        <w:t> </w:t>
      </w:r>
      <w:r>
        <w:rPr>
          <w:rFonts w:ascii="Times New Roman" w:hAnsi="Times New Roman" w:cs="Times New Roman"/>
          <w:sz w:val="24"/>
          <w:szCs w:val="24"/>
        </w:rPr>
        <w:t xml:space="preserve">problematiku investičního </w:t>
      </w:r>
      <w:r>
        <w:rPr>
          <w:rFonts w:ascii="Times New Roman" w:hAnsi="Times New Roman" w:cs="Times New Roman"/>
          <w:sz w:val="24"/>
          <w:szCs w:val="24"/>
        </w:rPr>
        <w:t>crowdfundingu</w:t>
      </w:r>
      <w:r>
        <w:rPr>
          <w:rFonts w:ascii="Times New Roman" w:hAnsi="Times New Roman" w:cs="Times New Roman"/>
          <w:sz w:val="24"/>
          <w:szCs w:val="24"/>
        </w:rPr>
        <w:t xml:space="preserve"> a nabude účinnosti 10. </w:t>
      </w:r>
      <w:r w:rsidR="00282A23">
        <w:rPr>
          <w:rFonts w:ascii="Times New Roman" w:hAnsi="Times New Roman" w:cs="Times New Roman"/>
          <w:sz w:val="24"/>
          <w:szCs w:val="24"/>
        </w:rPr>
        <w:t xml:space="preserve">11. </w:t>
      </w:r>
      <w:r>
        <w:rPr>
          <w:rFonts w:ascii="Times New Roman" w:hAnsi="Times New Roman" w:cs="Times New Roman"/>
          <w:sz w:val="24"/>
          <w:szCs w:val="24"/>
        </w:rPr>
        <w:t xml:space="preserve">2021. Provozovatelé </w:t>
      </w:r>
      <w:r>
        <w:rPr>
          <w:rFonts w:ascii="Times New Roman" w:hAnsi="Times New Roman" w:cs="Times New Roman"/>
          <w:sz w:val="24"/>
          <w:szCs w:val="24"/>
        </w:rPr>
        <w:t>crowdfundingových</w:t>
      </w:r>
      <w:r>
        <w:rPr>
          <w:rFonts w:ascii="Times New Roman" w:hAnsi="Times New Roman" w:cs="Times New Roman"/>
          <w:sz w:val="24"/>
          <w:szCs w:val="24"/>
        </w:rPr>
        <w:t xml:space="preserve"> platforem, které financují podnikatele, </w:t>
      </w:r>
      <w:r>
        <w:rPr>
          <w:rFonts w:ascii="Times New Roman" w:hAnsi="Times New Roman" w:cs="Times New Roman"/>
          <w:sz w:val="24"/>
          <w:szCs w:val="24"/>
        </w:rPr>
        <w:t>mus</w:t>
      </w:r>
      <w:r w:rsidR="00894D70">
        <w:rPr>
          <w:rFonts w:ascii="Times New Roman" w:hAnsi="Times New Roman" w:cs="Times New Roman"/>
          <w:sz w:val="24"/>
          <w:szCs w:val="24"/>
        </w:rPr>
        <w:t>ej</w:t>
      </w:r>
      <w:r>
        <w:rPr>
          <w:rFonts w:ascii="Times New Roman" w:hAnsi="Times New Roman" w:cs="Times New Roman"/>
          <w:sz w:val="24"/>
          <w:szCs w:val="24"/>
        </w:rPr>
        <w:t>í</w:t>
      </w:r>
      <w:r>
        <w:rPr>
          <w:rFonts w:ascii="Times New Roman" w:hAnsi="Times New Roman" w:cs="Times New Roman"/>
          <w:sz w:val="24"/>
          <w:szCs w:val="24"/>
        </w:rPr>
        <w:t xml:space="preserve"> požádat o povolení</w:t>
      </w:r>
      <w:r w:rsidR="00282A23">
        <w:rPr>
          <w:rFonts w:ascii="Times New Roman" w:hAnsi="Times New Roman" w:cs="Times New Roman"/>
          <w:sz w:val="24"/>
          <w:szCs w:val="24"/>
        </w:rPr>
        <w:t xml:space="preserve"> 10. 11. 2022. </w:t>
      </w:r>
      <w:r w:rsidR="00670604">
        <w:rPr>
          <w:rFonts w:ascii="Times New Roman" w:hAnsi="Times New Roman" w:cs="Times New Roman"/>
          <w:sz w:val="24"/>
          <w:szCs w:val="24"/>
        </w:rPr>
        <w:t xml:space="preserve">ČR se na vyjednávání tohoto předpisu EU aktivně </w:t>
      </w:r>
      <w:r w:rsidR="00670604">
        <w:rPr>
          <w:rFonts w:ascii="Times New Roman" w:hAnsi="Times New Roman" w:cs="Times New Roman"/>
          <w:sz w:val="24"/>
          <w:szCs w:val="24"/>
        </w:rPr>
        <w:t>podílela</w:t>
      </w:r>
      <w:r w:rsidR="00670604">
        <w:rPr>
          <w:rFonts w:ascii="Times New Roman" w:hAnsi="Times New Roman" w:cs="Times New Roman"/>
          <w:sz w:val="24"/>
          <w:szCs w:val="24"/>
        </w:rPr>
        <w:t xml:space="preserve">. S ohledem na tuto evropskou regulaci není již v tuto chvíli možné uvažovat o české národní úpravě investičního </w:t>
      </w:r>
      <w:r w:rsidR="00670604">
        <w:rPr>
          <w:rFonts w:ascii="Times New Roman" w:hAnsi="Times New Roman" w:cs="Times New Roman"/>
          <w:sz w:val="24"/>
          <w:szCs w:val="24"/>
        </w:rPr>
        <w:t>crowdfundingu</w:t>
      </w:r>
      <w:r w:rsidR="00670604">
        <w:rPr>
          <w:rFonts w:ascii="Times New Roman" w:hAnsi="Times New Roman" w:cs="Times New Roman"/>
          <w:sz w:val="24"/>
          <w:szCs w:val="24"/>
        </w:rPr>
        <w:t xml:space="preserve"> (neregulovány zůstávají pouze platformy, které financují spotřebitele). </w:t>
      </w:r>
      <w:r w:rsidR="009A05F2">
        <w:rPr>
          <w:rFonts w:ascii="Times New Roman" w:hAnsi="Times New Roman" w:cs="Times New Roman"/>
          <w:sz w:val="24"/>
          <w:szCs w:val="24"/>
        </w:rPr>
        <w:t xml:space="preserve">Je vhodné tuto problematiku dále sledovat, zejména dopady nové evropské regulace na české platformy, nicméně případné změny nové regulace budou muset být prosazeny na úrovni EU. </w:t>
      </w:r>
      <w:r w:rsidR="007F28A9">
        <w:rPr>
          <w:rFonts w:ascii="Times New Roman" w:hAnsi="Times New Roman" w:cs="Times New Roman"/>
          <w:sz w:val="24"/>
          <w:szCs w:val="24"/>
        </w:rPr>
        <w:t>C</w:t>
      </w:r>
      <w:r w:rsidR="009A05F2">
        <w:rPr>
          <w:rFonts w:ascii="Times New Roman" w:hAnsi="Times New Roman" w:cs="Times New Roman"/>
          <w:sz w:val="24"/>
          <w:szCs w:val="24"/>
        </w:rPr>
        <w:t>rowdfunding</w:t>
      </w:r>
      <w:r w:rsidR="009A05F2">
        <w:rPr>
          <w:rFonts w:ascii="Times New Roman" w:hAnsi="Times New Roman" w:cs="Times New Roman"/>
          <w:sz w:val="24"/>
          <w:szCs w:val="24"/>
        </w:rPr>
        <w:t xml:space="preserve"> (služba skupinového financování) podle nového nařízení EU zahrnuje jak </w:t>
      </w:r>
      <w:r w:rsidR="00840FD3">
        <w:rPr>
          <w:rFonts w:ascii="Times New Roman" w:hAnsi="Times New Roman" w:cs="Times New Roman"/>
          <w:sz w:val="24"/>
          <w:szCs w:val="24"/>
        </w:rPr>
        <w:t xml:space="preserve">usnadnění poskytování </w:t>
      </w:r>
      <w:r w:rsidR="009A05F2">
        <w:rPr>
          <w:rFonts w:ascii="Times New Roman" w:hAnsi="Times New Roman" w:cs="Times New Roman"/>
          <w:sz w:val="24"/>
          <w:szCs w:val="24"/>
        </w:rPr>
        <w:t xml:space="preserve">úvěrů, tak </w:t>
      </w:r>
      <w:r w:rsidR="009400B8">
        <w:rPr>
          <w:rFonts w:ascii="Times New Roman" w:hAnsi="Times New Roman" w:cs="Times New Roman"/>
          <w:sz w:val="24"/>
          <w:szCs w:val="24"/>
        </w:rPr>
        <w:t xml:space="preserve">nabízení </w:t>
      </w:r>
      <w:r w:rsidR="009A05F2">
        <w:rPr>
          <w:rFonts w:ascii="Times New Roman" w:hAnsi="Times New Roman" w:cs="Times New Roman"/>
          <w:sz w:val="24"/>
          <w:szCs w:val="24"/>
        </w:rPr>
        <w:t>investičních cenných papírů</w:t>
      </w:r>
      <w:r w:rsidR="009400B8">
        <w:rPr>
          <w:rFonts w:ascii="Times New Roman" w:hAnsi="Times New Roman" w:cs="Times New Roman"/>
          <w:sz w:val="24"/>
          <w:szCs w:val="24"/>
        </w:rPr>
        <w:t xml:space="preserve"> (typicky akcií nebo dluhopisů). V současné době působí v ČR několik platforem, které nabízejí tyto služby, </w:t>
      </w:r>
      <w:r w:rsidR="00840FD3">
        <w:rPr>
          <w:rFonts w:ascii="Times New Roman" w:hAnsi="Times New Roman" w:cs="Times New Roman"/>
          <w:sz w:val="24"/>
          <w:szCs w:val="24"/>
        </w:rPr>
        <w:t>například</w:t>
      </w:r>
      <w:r w:rsidR="009400B8">
        <w:rPr>
          <w:rFonts w:ascii="Times New Roman" w:hAnsi="Times New Roman" w:cs="Times New Roman"/>
          <w:sz w:val="24"/>
          <w:szCs w:val="24"/>
        </w:rPr>
        <w:t xml:space="preserve"> </w:t>
      </w:r>
      <w:r>
        <w:fldChar w:fldCharType="begin"/>
      </w:r>
      <w:r>
        <w:instrText xml:space="preserve"> HYPERLINK "https://finsider.cz/investovani/fundlift-tak-trochu-pokulhavajici-investicni-crowdfunding/" </w:instrText>
      </w:r>
      <w:r>
        <w:fldChar w:fldCharType="separate"/>
      </w:r>
      <w:r w:rsidRPr="00FE0D42" w:rsidR="009400B8">
        <w:rPr>
          <w:rStyle w:val="Hyperlink"/>
          <w:rFonts w:ascii="Times New Roman" w:hAnsi="Times New Roman" w:cs="Times New Roman"/>
          <w:sz w:val="24"/>
          <w:szCs w:val="24"/>
        </w:rPr>
        <w:t>Fundlift</w:t>
      </w:r>
      <w:r>
        <w:fldChar w:fldCharType="end"/>
      </w:r>
      <w:r w:rsidR="00385EA2">
        <w:rPr>
          <w:rStyle w:val="Hyperlink"/>
          <w:rFonts w:ascii="Times New Roman" w:hAnsi="Times New Roman" w:cs="Times New Roman"/>
          <w:color w:val="auto"/>
          <w:sz w:val="24"/>
          <w:szCs w:val="24"/>
          <w:u w:val="none"/>
          <w:vertAlign w:val="superscript"/>
        </w:rPr>
        <w:t>50</w:t>
      </w:r>
      <w:r w:rsidRPr="00F261B8" w:rsidR="00385EA2">
        <w:rPr>
          <w:rStyle w:val="Hyperlink"/>
          <w:rFonts w:ascii="Times New Roman" w:hAnsi="Times New Roman" w:cs="Times New Roman"/>
          <w:color w:val="auto"/>
          <w:sz w:val="24"/>
          <w:szCs w:val="24"/>
          <w:u w:val="none"/>
          <w:vertAlign w:val="superscript"/>
        </w:rPr>
        <w:t>)</w:t>
      </w:r>
      <w:r w:rsidR="009400B8">
        <w:rPr>
          <w:rFonts w:ascii="Times New Roman" w:hAnsi="Times New Roman" w:cs="Times New Roman"/>
          <w:sz w:val="24"/>
          <w:szCs w:val="24"/>
        </w:rPr>
        <w:t xml:space="preserve">, </w:t>
      </w:r>
      <w:r>
        <w:fldChar w:fldCharType="begin"/>
      </w:r>
      <w:r>
        <w:instrText xml:space="preserve"> HYPERLINK "https://fintechcowboys.cz/rozhovor-o-crowdfundingove-platforme-fingood/" </w:instrText>
      </w:r>
      <w:r>
        <w:fldChar w:fldCharType="separate"/>
      </w:r>
      <w:r w:rsidRPr="00FE0D42" w:rsidR="009400B8">
        <w:rPr>
          <w:rStyle w:val="Hyperlink"/>
          <w:rFonts w:ascii="Times New Roman" w:hAnsi="Times New Roman" w:cs="Times New Roman"/>
          <w:sz w:val="24"/>
          <w:szCs w:val="24"/>
        </w:rPr>
        <w:t>Fingood</w:t>
      </w:r>
      <w:r>
        <w:fldChar w:fldCharType="end"/>
      </w:r>
      <w:r w:rsidR="00385EA2">
        <w:rPr>
          <w:rStyle w:val="Hyperlink"/>
          <w:rFonts w:ascii="Times New Roman" w:hAnsi="Times New Roman" w:cs="Times New Roman"/>
          <w:color w:val="auto"/>
          <w:sz w:val="24"/>
          <w:szCs w:val="24"/>
          <w:u w:val="none"/>
          <w:vertAlign w:val="superscript"/>
        </w:rPr>
        <w:t>51</w:t>
      </w:r>
      <w:r w:rsidRPr="00F261B8" w:rsidR="00385EA2">
        <w:rPr>
          <w:rStyle w:val="Hyperlink"/>
          <w:rFonts w:ascii="Times New Roman" w:hAnsi="Times New Roman" w:cs="Times New Roman"/>
          <w:color w:val="auto"/>
          <w:sz w:val="24"/>
          <w:szCs w:val="24"/>
          <w:u w:val="none"/>
          <w:vertAlign w:val="superscript"/>
        </w:rPr>
        <w:t>)</w:t>
      </w:r>
      <w:r w:rsidR="009400B8">
        <w:rPr>
          <w:rFonts w:ascii="Times New Roman" w:hAnsi="Times New Roman" w:cs="Times New Roman"/>
          <w:sz w:val="24"/>
          <w:szCs w:val="24"/>
        </w:rPr>
        <w:t xml:space="preserve">, </w:t>
      </w:r>
      <w:r>
        <w:fldChar w:fldCharType="begin"/>
      </w:r>
      <w:r>
        <w:instrText xml:space="preserve"> HYPERLINK "https://fintechcowboys.cz/upvest-rozhovor-o-crowdfundingovych-investicich-do-nemovitosti/" </w:instrText>
      </w:r>
      <w:r>
        <w:fldChar w:fldCharType="separate"/>
      </w:r>
      <w:r w:rsidRPr="009400B8" w:rsidR="009400B8">
        <w:rPr>
          <w:rStyle w:val="Hyperlink"/>
          <w:rFonts w:ascii="Times New Roman" w:hAnsi="Times New Roman" w:cs="Times New Roman"/>
          <w:sz w:val="24"/>
          <w:szCs w:val="24"/>
        </w:rPr>
        <w:t>Upvest</w:t>
      </w:r>
      <w:r>
        <w:fldChar w:fldCharType="end"/>
      </w:r>
      <w:r w:rsidR="00385EA2">
        <w:rPr>
          <w:rStyle w:val="Hyperlink"/>
          <w:rFonts w:ascii="Times New Roman" w:hAnsi="Times New Roman" w:cs="Times New Roman"/>
          <w:color w:val="auto"/>
          <w:sz w:val="24"/>
          <w:szCs w:val="24"/>
          <w:u w:val="none"/>
          <w:vertAlign w:val="superscript"/>
        </w:rPr>
        <w:t>52</w:t>
      </w:r>
      <w:r w:rsidRPr="00F261B8" w:rsidR="00385EA2">
        <w:rPr>
          <w:rStyle w:val="Hyperlink"/>
          <w:rFonts w:ascii="Times New Roman" w:hAnsi="Times New Roman" w:cs="Times New Roman"/>
          <w:color w:val="auto"/>
          <w:sz w:val="24"/>
          <w:szCs w:val="24"/>
          <w:u w:val="none"/>
          <w:vertAlign w:val="superscript"/>
        </w:rPr>
        <w:t>)</w:t>
      </w:r>
      <w:r w:rsidR="009400B8">
        <w:rPr>
          <w:rFonts w:ascii="Times New Roman" w:hAnsi="Times New Roman" w:cs="Times New Roman"/>
          <w:sz w:val="24"/>
          <w:szCs w:val="24"/>
        </w:rPr>
        <w:t xml:space="preserve">, </w:t>
      </w:r>
      <w:r>
        <w:fldChar w:fldCharType="begin"/>
      </w:r>
      <w:r>
        <w:instrText xml:space="preserve"> HYPERLINK "https://www.topdluhopisy.cz/" </w:instrText>
      </w:r>
      <w:r>
        <w:fldChar w:fldCharType="separate"/>
      </w:r>
      <w:r w:rsidRPr="001F0791" w:rsidR="001C3357">
        <w:rPr>
          <w:rStyle w:val="Hyperlink"/>
          <w:rFonts w:ascii="Times New Roman" w:hAnsi="Times New Roman" w:cs="Times New Roman"/>
          <w:sz w:val="24"/>
          <w:szCs w:val="24"/>
        </w:rPr>
        <w:t>Topdluhopisy.cz</w:t>
      </w:r>
      <w:r>
        <w:fldChar w:fldCharType="end"/>
      </w:r>
      <w:r w:rsidR="00385EA2">
        <w:rPr>
          <w:rStyle w:val="Hyperlink"/>
          <w:rFonts w:ascii="Times New Roman" w:hAnsi="Times New Roman" w:cs="Times New Roman"/>
          <w:color w:val="auto"/>
          <w:sz w:val="24"/>
          <w:szCs w:val="24"/>
          <w:u w:val="none"/>
          <w:vertAlign w:val="superscript"/>
        </w:rPr>
        <w:t>53</w:t>
      </w:r>
      <w:r w:rsidRPr="00F261B8" w:rsidR="00385EA2">
        <w:rPr>
          <w:rStyle w:val="Hyperlink"/>
          <w:rFonts w:ascii="Times New Roman" w:hAnsi="Times New Roman" w:cs="Times New Roman"/>
          <w:color w:val="auto"/>
          <w:sz w:val="24"/>
          <w:szCs w:val="24"/>
          <w:u w:val="none"/>
          <w:vertAlign w:val="superscript"/>
        </w:rPr>
        <w:t>)</w:t>
      </w:r>
      <w:r w:rsidR="001C3357">
        <w:rPr>
          <w:rFonts w:ascii="Times New Roman" w:hAnsi="Times New Roman" w:cs="Times New Roman"/>
          <w:sz w:val="24"/>
          <w:szCs w:val="24"/>
        </w:rPr>
        <w:t xml:space="preserve">, </w:t>
      </w:r>
      <w:r>
        <w:fldChar w:fldCharType="begin"/>
      </w:r>
      <w:r>
        <w:instrText xml:space="preserve"> HYPERLINK "https://dluhopisy.cz/" </w:instrText>
      </w:r>
      <w:r>
        <w:fldChar w:fldCharType="separate"/>
      </w:r>
      <w:r w:rsidRPr="00D77354" w:rsidR="009400B8">
        <w:rPr>
          <w:rStyle w:val="Hyperlink"/>
          <w:rFonts w:ascii="Times New Roman" w:hAnsi="Times New Roman" w:cs="Times New Roman"/>
          <w:sz w:val="24"/>
          <w:szCs w:val="24"/>
        </w:rPr>
        <w:t>Dluhopisy.cz</w:t>
      </w:r>
      <w:r>
        <w:fldChar w:fldCharType="end"/>
      </w:r>
      <w:r w:rsidR="00385EA2">
        <w:rPr>
          <w:rStyle w:val="Hyperlink"/>
          <w:rFonts w:ascii="Times New Roman" w:hAnsi="Times New Roman" w:cs="Times New Roman"/>
          <w:color w:val="auto"/>
          <w:sz w:val="24"/>
          <w:szCs w:val="24"/>
          <w:u w:val="none"/>
          <w:vertAlign w:val="superscript"/>
        </w:rPr>
        <w:t>54</w:t>
      </w:r>
      <w:r w:rsidRPr="00F261B8" w:rsidR="00385EA2">
        <w:rPr>
          <w:rStyle w:val="Hyperlink"/>
          <w:rFonts w:ascii="Times New Roman" w:hAnsi="Times New Roman" w:cs="Times New Roman"/>
          <w:color w:val="auto"/>
          <w:sz w:val="24"/>
          <w:szCs w:val="24"/>
          <w:u w:val="none"/>
          <w:vertAlign w:val="superscript"/>
        </w:rPr>
        <w:t>)</w:t>
      </w:r>
      <w:r w:rsidR="00840FD3">
        <w:rPr>
          <w:rFonts w:ascii="Times New Roman" w:hAnsi="Times New Roman" w:cs="Times New Roman"/>
          <w:sz w:val="24"/>
          <w:szCs w:val="24"/>
        </w:rPr>
        <w:t>,</w:t>
      </w:r>
      <w:r w:rsidR="00FE0D42">
        <w:rPr>
          <w:rFonts w:ascii="Times New Roman" w:hAnsi="Times New Roman" w:cs="Times New Roman"/>
          <w:sz w:val="24"/>
          <w:szCs w:val="24"/>
        </w:rPr>
        <w:t xml:space="preserve"> </w:t>
      </w:r>
      <w:r>
        <w:fldChar w:fldCharType="begin"/>
      </w:r>
      <w:r>
        <w:instrText xml:space="preserve"> HYPERLINK "https://www.proplat.to/" </w:instrText>
      </w:r>
      <w:r>
        <w:fldChar w:fldCharType="separate"/>
      </w:r>
      <w:r w:rsidRPr="00716B81" w:rsidR="00716B81">
        <w:rPr>
          <w:rStyle w:val="Hyperlink"/>
          <w:rFonts w:ascii="Times New Roman" w:hAnsi="Times New Roman" w:cs="Times New Roman"/>
          <w:sz w:val="24"/>
          <w:szCs w:val="24"/>
        </w:rPr>
        <w:t>Proplat.to</w:t>
      </w:r>
      <w:r>
        <w:fldChar w:fldCharType="end"/>
      </w:r>
      <w:r w:rsidR="00385EA2">
        <w:rPr>
          <w:rStyle w:val="Hyperlink"/>
          <w:rFonts w:ascii="Times New Roman" w:hAnsi="Times New Roman" w:cs="Times New Roman"/>
          <w:color w:val="auto"/>
          <w:sz w:val="24"/>
          <w:szCs w:val="24"/>
          <w:u w:val="none"/>
          <w:vertAlign w:val="superscript"/>
        </w:rPr>
        <w:t>55</w:t>
      </w:r>
      <w:r w:rsidRPr="00F261B8" w:rsidR="00385EA2">
        <w:rPr>
          <w:rStyle w:val="Hyperlink"/>
          <w:rFonts w:ascii="Times New Roman" w:hAnsi="Times New Roman" w:cs="Times New Roman"/>
          <w:color w:val="auto"/>
          <w:sz w:val="24"/>
          <w:szCs w:val="24"/>
          <w:u w:val="none"/>
          <w:vertAlign w:val="superscript"/>
        </w:rPr>
        <w:t>)</w:t>
      </w:r>
      <w:r w:rsidR="00840FD3">
        <w:rPr>
          <w:rFonts w:ascii="Times New Roman" w:hAnsi="Times New Roman" w:cs="Times New Roman"/>
          <w:sz w:val="24"/>
          <w:szCs w:val="24"/>
        </w:rPr>
        <w:t xml:space="preserve">, </w:t>
      </w:r>
      <w:r>
        <w:fldChar w:fldCharType="begin"/>
      </w:r>
      <w:r>
        <w:instrText xml:space="preserve"> HYPERLINK "https://crofungo.cz/o-nas/" </w:instrText>
      </w:r>
      <w:r>
        <w:fldChar w:fldCharType="separate"/>
      </w:r>
      <w:r w:rsidRPr="007A6F7E" w:rsidR="00840FD3">
        <w:rPr>
          <w:rStyle w:val="Hyperlink"/>
          <w:rFonts w:ascii="Times New Roman" w:hAnsi="Times New Roman" w:cs="Times New Roman"/>
          <w:sz w:val="24"/>
          <w:szCs w:val="24"/>
        </w:rPr>
        <w:t>CroFunGo</w:t>
      </w:r>
      <w:r>
        <w:fldChar w:fldCharType="end"/>
      </w:r>
      <w:r w:rsidR="00385EA2">
        <w:rPr>
          <w:rStyle w:val="Hyperlink"/>
          <w:rFonts w:ascii="Times New Roman" w:hAnsi="Times New Roman" w:cs="Times New Roman"/>
          <w:color w:val="auto"/>
          <w:sz w:val="24"/>
          <w:szCs w:val="24"/>
          <w:u w:val="none"/>
          <w:vertAlign w:val="superscript"/>
        </w:rPr>
        <w:t>56</w:t>
      </w:r>
      <w:r w:rsidRPr="00F261B8" w:rsidR="00385EA2">
        <w:rPr>
          <w:rStyle w:val="Hyperlink"/>
          <w:rFonts w:ascii="Times New Roman" w:hAnsi="Times New Roman" w:cs="Times New Roman"/>
          <w:color w:val="auto"/>
          <w:sz w:val="24"/>
          <w:szCs w:val="24"/>
          <w:u w:val="none"/>
          <w:vertAlign w:val="superscript"/>
        </w:rPr>
        <w:t>)</w:t>
      </w:r>
      <w:r w:rsidR="00840FD3">
        <w:rPr>
          <w:rFonts w:ascii="Times New Roman" w:hAnsi="Times New Roman" w:cs="Times New Roman"/>
          <w:sz w:val="24"/>
          <w:szCs w:val="24"/>
        </w:rPr>
        <w:t xml:space="preserve">, </w:t>
      </w:r>
      <w:r>
        <w:fldChar w:fldCharType="begin"/>
      </w:r>
      <w:r>
        <w:instrText xml:space="preserve"> HYPERLINK "https://www.rondainvest.cz/o-nas" </w:instrText>
      </w:r>
      <w:r>
        <w:fldChar w:fldCharType="separate"/>
      </w:r>
      <w:r w:rsidRPr="00840FD3" w:rsidR="00840FD3">
        <w:rPr>
          <w:rStyle w:val="Hyperlink"/>
          <w:rFonts w:ascii="Times New Roman" w:hAnsi="Times New Roman" w:cs="Times New Roman"/>
          <w:sz w:val="24"/>
          <w:szCs w:val="24"/>
        </w:rPr>
        <w:t>Ronda Invest</w:t>
      </w:r>
      <w:r>
        <w:fldChar w:fldCharType="end"/>
      </w:r>
      <w:r w:rsidR="00385EA2">
        <w:rPr>
          <w:rStyle w:val="Hyperlink"/>
          <w:rFonts w:ascii="Times New Roman" w:hAnsi="Times New Roman" w:cs="Times New Roman"/>
          <w:color w:val="auto"/>
          <w:sz w:val="24"/>
          <w:szCs w:val="24"/>
          <w:u w:val="none"/>
          <w:vertAlign w:val="superscript"/>
        </w:rPr>
        <w:t>57</w:t>
      </w:r>
      <w:r w:rsidRPr="00F261B8" w:rsidR="00385EA2">
        <w:rPr>
          <w:rStyle w:val="Hyperlink"/>
          <w:rFonts w:ascii="Times New Roman" w:hAnsi="Times New Roman" w:cs="Times New Roman"/>
          <w:color w:val="auto"/>
          <w:sz w:val="24"/>
          <w:szCs w:val="24"/>
          <w:u w:val="none"/>
          <w:vertAlign w:val="superscript"/>
        </w:rPr>
        <w:t>)</w:t>
      </w:r>
      <w:r w:rsidR="00840FD3">
        <w:rPr>
          <w:rFonts w:ascii="Times New Roman" w:hAnsi="Times New Roman" w:cs="Times New Roman"/>
          <w:sz w:val="24"/>
          <w:szCs w:val="24"/>
        </w:rPr>
        <w:t>,</w:t>
      </w:r>
      <w:r w:rsidR="00716B81">
        <w:rPr>
          <w:rFonts w:ascii="Times New Roman" w:hAnsi="Times New Roman" w:cs="Times New Roman"/>
          <w:sz w:val="24"/>
          <w:szCs w:val="24"/>
        </w:rPr>
        <w:t xml:space="preserve"> </w:t>
      </w:r>
      <w:r>
        <w:fldChar w:fldCharType="begin"/>
      </w:r>
      <w:r>
        <w:instrText xml:space="preserve"> HYPERLINK "https://ceskedluhopisy.cz/" </w:instrText>
      </w:r>
      <w:r>
        <w:fldChar w:fldCharType="separate"/>
      </w:r>
      <w:r w:rsidRPr="00FE0D42" w:rsidR="00716B81">
        <w:rPr>
          <w:rStyle w:val="Hyperlink"/>
          <w:rFonts w:ascii="Times New Roman" w:hAnsi="Times New Roman" w:cs="Times New Roman"/>
          <w:sz w:val="24"/>
          <w:szCs w:val="24"/>
        </w:rPr>
        <w:t>Českédluhopisy.cz</w:t>
      </w:r>
      <w:r>
        <w:fldChar w:fldCharType="end"/>
      </w:r>
      <w:r w:rsidR="00385EA2">
        <w:rPr>
          <w:rStyle w:val="Hyperlink"/>
          <w:rFonts w:ascii="Times New Roman" w:hAnsi="Times New Roman" w:cs="Times New Roman"/>
          <w:color w:val="auto"/>
          <w:sz w:val="24"/>
          <w:szCs w:val="24"/>
          <w:u w:val="none"/>
          <w:vertAlign w:val="superscript"/>
        </w:rPr>
        <w:t>58</w:t>
      </w:r>
      <w:r w:rsidRPr="00F261B8" w:rsidR="00385EA2">
        <w:rPr>
          <w:rStyle w:val="Hyperlink"/>
          <w:rFonts w:ascii="Times New Roman" w:hAnsi="Times New Roman" w:cs="Times New Roman"/>
          <w:color w:val="auto"/>
          <w:sz w:val="24"/>
          <w:szCs w:val="24"/>
          <w:u w:val="none"/>
          <w:vertAlign w:val="superscript"/>
        </w:rPr>
        <w:t>)</w:t>
      </w:r>
      <w:r w:rsidR="00716B81">
        <w:rPr>
          <w:rFonts w:ascii="Times New Roman" w:hAnsi="Times New Roman" w:cs="Times New Roman"/>
          <w:sz w:val="24"/>
          <w:szCs w:val="24"/>
        </w:rPr>
        <w:t xml:space="preserve">, </w:t>
      </w:r>
      <w:r>
        <w:fldChar w:fldCharType="begin"/>
      </w:r>
      <w:r>
        <w:instrText xml:space="preserve"> HYPERLINK "https://dluhopisomat.cz/" </w:instrText>
      </w:r>
      <w:r>
        <w:fldChar w:fldCharType="separate"/>
      </w:r>
      <w:r w:rsidRPr="001F0791" w:rsidR="00716B81">
        <w:rPr>
          <w:rStyle w:val="Hyperlink"/>
          <w:rFonts w:ascii="Times New Roman" w:hAnsi="Times New Roman" w:cs="Times New Roman"/>
          <w:sz w:val="24"/>
          <w:szCs w:val="24"/>
        </w:rPr>
        <w:t>Dluhopisomat</w:t>
      </w:r>
      <w:r>
        <w:fldChar w:fldCharType="end"/>
      </w:r>
      <w:r w:rsidR="00385EA2">
        <w:rPr>
          <w:rStyle w:val="Hyperlink"/>
          <w:rFonts w:ascii="Times New Roman" w:hAnsi="Times New Roman" w:cs="Times New Roman"/>
          <w:color w:val="auto"/>
          <w:sz w:val="24"/>
          <w:szCs w:val="24"/>
          <w:u w:val="none"/>
          <w:vertAlign w:val="superscript"/>
        </w:rPr>
        <w:t>59</w:t>
      </w:r>
      <w:r w:rsidRPr="00F261B8" w:rsidR="00385EA2">
        <w:rPr>
          <w:rStyle w:val="Hyperlink"/>
          <w:rFonts w:ascii="Times New Roman" w:hAnsi="Times New Roman" w:cs="Times New Roman"/>
          <w:color w:val="auto"/>
          <w:sz w:val="24"/>
          <w:szCs w:val="24"/>
          <w:u w:val="none"/>
          <w:vertAlign w:val="superscript"/>
        </w:rPr>
        <w:t>)</w:t>
      </w:r>
      <w:r w:rsidR="00716B81">
        <w:rPr>
          <w:rFonts w:ascii="Times New Roman" w:hAnsi="Times New Roman" w:cs="Times New Roman"/>
          <w:sz w:val="24"/>
          <w:szCs w:val="24"/>
        </w:rPr>
        <w:t xml:space="preserve">, </w:t>
      </w:r>
      <w:r>
        <w:fldChar w:fldCharType="begin"/>
      </w:r>
      <w:r>
        <w:instrText xml:space="preserve"> HYPERLINK "http://www.dluhopisovyportal.cz/" </w:instrText>
      </w:r>
      <w:r>
        <w:fldChar w:fldCharType="separate"/>
      </w:r>
      <w:r w:rsidRPr="001F0791" w:rsidR="00716B81">
        <w:rPr>
          <w:rStyle w:val="Hyperlink"/>
          <w:rFonts w:ascii="Times New Roman" w:hAnsi="Times New Roman" w:cs="Times New Roman"/>
          <w:sz w:val="24"/>
          <w:szCs w:val="24"/>
        </w:rPr>
        <w:t>Dluhopisovyportal.cz</w:t>
      </w:r>
      <w:r>
        <w:fldChar w:fldCharType="end"/>
      </w:r>
      <w:r w:rsidR="00385EA2">
        <w:rPr>
          <w:rStyle w:val="Hyperlink"/>
          <w:rFonts w:ascii="Times New Roman" w:hAnsi="Times New Roman" w:cs="Times New Roman"/>
          <w:color w:val="auto"/>
          <w:sz w:val="24"/>
          <w:szCs w:val="24"/>
          <w:u w:val="none"/>
          <w:vertAlign w:val="superscript"/>
        </w:rPr>
        <w:t>60</w:t>
      </w:r>
      <w:r w:rsidRPr="00F261B8" w:rsidR="00385EA2">
        <w:rPr>
          <w:rStyle w:val="Hyperlink"/>
          <w:rFonts w:ascii="Times New Roman" w:hAnsi="Times New Roman" w:cs="Times New Roman"/>
          <w:color w:val="auto"/>
          <w:sz w:val="24"/>
          <w:szCs w:val="24"/>
          <w:u w:val="none"/>
          <w:vertAlign w:val="superscript"/>
        </w:rPr>
        <w:t>)</w:t>
      </w:r>
      <w:r w:rsidR="00716B81">
        <w:rPr>
          <w:rFonts w:ascii="Times New Roman" w:hAnsi="Times New Roman" w:cs="Times New Roman"/>
          <w:sz w:val="24"/>
          <w:szCs w:val="24"/>
        </w:rPr>
        <w:t xml:space="preserve"> </w:t>
      </w:r>
      <w:r w:rsidR="00D77354">
        <w:rPr>
          <w:rFonts w:ascii="Times New Roman" w:hAnsi="Times New Roman" w:cs="Times New Roman"/>
          <w:sz w:val="24"/>
          <w:szCs w:val="24"/>
        </w:rPr>
        <w:t>nebo</w:t>
      </w:r>
      <w:r w:rsidR="00716B81">
        <w:rPr>
          <w:rFonts w:ascii="Times New Roman" w:hAnsi="Times New Roman" w:cs="Times New Roman"/>
          <w:sz w:val="24"/>
          <w:szCs w:val="24"/>
        </w:rPr>
        <w:t xml:space="preserve"> </w:t>
      </w:r>
      <w:r>
        <w:fldChar w:fldCharType="begin"/>
      </w:r>
      <w:r>
        <w:instrText xml:space="preserve"> HYPERLINK "https://dluhopisy.net/" </w:instrText>
      </w:r>
      <w:r>
        <w:fldChar w:fldCharType="separate"/>
      </w:r>
      <w:r w:rsidRPr="00716B81" w:rsidR="00716B81">
        <w:rPr>
          <w:rStyle w:val="Hyperlink"/>
          <w:rFonts w:ascii="Times New Roman" w:hAnsi="Times New Roman" w:cs="Times New Roman"/>
          <w:sz w:val="24"/>
          <w:szCs w:val="24"/>
        </w:rPr>
        <w:t>Dluhopisy.net</w:t>
      </w:r>
      <w:r>
        <w:fldChar w:fldCharType="end"/>
      </w:r>
      <w:r w:rsidR="00385EA2">
        <w:rPr>
          <w:rStyle w:val="Hyperlink"/>
          <w:rFonts w:ascii="Times New Roman" w:hAnsi="Times New Roman" w:cs="Times New Roman"/>
          <w:color w:val="auto"/>
          <w:sz w:val="24"/>
          <w:szCs w:val="24"/>
          <w:u w:val="none"/>
          <w:vertAlign w:val="superscript"/>
        </w:rPr>
        <w:t>61</w:t>
      </w:r>
      <w:r w:rsidRPr="00F261B8" w:rsidR="00385EA2">
        <w:rPr>
          <w:rStyle w:val="Hyperlink"/>
          <w:rFonts w:ascii="Times New Roman" w:hAnsi="Times New Roman" w:cs="Times New Roman"/>
          <w:color w:val="auto"/>
          <w:sz w:val="24"/>
          <w:szCs w:val="24"/>
          <w:u w:val="none"/>
          <w:vertAlign w:val="superscript"/>
        </w:rPr>
        <w:t>)</w:t>
      </w:r>
      <w:r w:rsidR="00D77354">
        <w:rPr>
          <w:rFonts w:ascii="Times New Roman" w:hAnsi="Times New Roman" w:cs="Times New Roman"/>
          <w:sz w:val="24"/>
          <w:szCs w:val="24"/>
        </w:rPr>
        <w:t xml:space="preserve">. </w:t>
      </w:r>
      <w:r w:rsidR="007A6F7E">
        <w:rPr>
          <w:rFonts w:ascii="Times New Roman" w:hAnsi="Times New Roman" w:cs="Times New Roman"/>
          <w:sz w:val="24"/>
          <w:szCs w:val="24"/>
        </w:rPr>
        <w:t xml:space="preserve">Některé platformy již ukončily svoji činnost, například </w:t>
      </w:r>
      <w:r>
        <w:fldChar w:fldCharType="begin"/>
      </w:r>
      <w:r>
        <w:instrText xml:space="preserve"> HYPERLINK "https://www.czechcrunch.cz/2018/08/pavel-matousek-ukoncuje-po-roce-provozu-svuj-projekt-na-pronajmy-bytu-rentiero/" </w:instrText>
      </w:r>
      <w:r>
        <w:fldChar w:fldCharType="separate"/>
      </w:r>
      <w:r w:rsidRPr="007A6F7E" w:rsidR="007A6F7E">
        <w:rPr>
          <w:rStyle w:val="Hyperlink"/>
          <w:rFonts w:ascii="Times New Roman" w:hAnsi="Times New Roman" w:cs="Times New Roman"/>
          <w:sz w:val="24"/>
          <w:szCs w:val="24"/>
        </w:rPr>
        <w:t>Rentiero</w:t>
      </w:r>
      <w:r>
        <w:fldChar w:fldCharType="end"/>
      </w:r>
      <w:r w:rsidR="00385EA2">
        <w:rPr>
          <w:rStyle w:val="Hyperlink"/>
          <w:rFonts w:ascii="Times New Roman" w:hAnsi="Times New Roman" w:cs="Times New Roman"/>
          <w:color w:val="auto"/>
          <w:sz w:val="24"/>
          <w:szCs w:val="24"/>
          <w:u w:val="none"/>
          <w:vertAlign w:val="superscript"/>
        </w:rPr>
        <w:t>62</w:t>
      </w:r>
      <w:r w:rsidRPr="00F261B8" w:rsidR="00385EA2">
        <w:rPr>
          <w:rStyle w:val="Hyperlink"/>
          <w:rFonts w:ascii="Times New Roman" w:hAnsi="Times New Roman" w:cs="Times New Roman"/>
          <w:color w:val="auto"/>
          <w:sz w:val="24"/>
          <w:szCs w:val="24"/>
          <w:u w:val="none"/>
          <w:vertAlign w:val="superscript"/>
        </w:rPr>
        <w:t>)</w:t>
      </w:r>
      <w:r w:rsidR="007A6F7E">
        <w:rPr>
          <w:rFonts w:ascii="Times New Roman" w:hAnsi="Times New Roman" w:cs="Times New Roman"/>
          <w:sz w:val="24"/>
          <w:szCs w:val="24"/>
        </w:rPr>
        <w:t xml:space="preserve">. Investiční </w:t>
      </w:r>
      <w:r w:rsidR="007A6F7E">
        <w:rPr>
          <w:rFonts w:ascii="Times New Roman" w:hAnsi="Times New Roman" w:cs="Times New Roman"/>
          <w:sz w:val="24"/>
          <w:szCs w:val="24"/>
        </w:rPr>
        <w:t>crowdfunding</w:t>
      </w:r>
      <w:r w:rsidR="007A6F7E">
        <w:rPr>
          <w:rFonts w:ascii="Times New Roman" w:hAnsi="Times New Roman" w:cs="Times New Roman"/>
          <w:sz w:val="24"/>
          <w:szCs w:val="24"/>
        </w:rPr>
        <w:t xml:space="preserve"> je velmi rizikový a investoři by si měli být zvýšeného rizika v</w:t>
      </w:r>
      <w:r w:rsidR="00594043">
        <w:rPr>
          <w:rFonts w:ascii="Times New Roman" w:hAnsi="Times New Roman" w:cs="Times New Roman"/>
          <w:sz w:val="24"/>
          <w:szCs w:val="24"/>
        </w:rPr>
        <w:t>ědomi, současně se ale jedná o zajímavou alternativu bankovnímu financování pro české podnikatele.</w:t>
      </w:r>
    </w:p>
    <w:p w:rsidR="00B57F5F" w:rsidRPr="00E35B00" w:rsidP="00867155">
      <w:pPr>
        <w:spacing w:before="120" w:after="120" w:line="240" w:lineRule="auto"/>
        <w:jc w:val="center"/>
        <w:rPr>
          <w:rFonts w:ascii="Times New Roman" w:hAnsi="Times New Roman" w:cs="Times New Roman"/>
          <w:b/>
          <w:i/>
          <w:sz w:val="24"/>
          <w:szCs w:val="24"/>
        </w:rPr>
      </w:pPr>
      <w:r w:rsidRPr="00E35B00">
        <w:rPr>
          <w:rFonts w:ascii="Times New Roman" w:hAnsi="Times New Roman" w:cs="Times New Roman"/>
          <w:b/>
          <w:i/>
          <w:sz w:val="24"/>
          <w:szCs w:val="24"/>
        </w:rPr>
        <w:t>10) Analýza možnosti vytvoření jednodušší formy akciové společnosti</w:t>
      </w:r>
    </w:p>
    <w:tbl>
      <w:tblPr>
        <w:tblStyle w:val="Mkatabulky4"/>
        <w:tblW w:w="0" w:type="auto"/>
        <w:shd w:val="solid" w:color="auto" w:fill="auto"/>
        <w:tblLook w:val="04A0"/>
      </w:tblPr>
      <w:tblGrid>
        <w:gridCol w:w="5266"/>
        <w:gridCol w:w="2664"/>
        <w:gridCol w:w="1132"/>
      </w:tblGrid>
      <w:tr w:rsidTr="00820E67">
        <w:tblPrEx>
          <w:tblW w:w="0" w:type="auto"/>
          <w:shd w:val="solid" w:color="auto" w:fill="auto"/>
          <w:tblLook w:val="04A0"/>
        </w:tblPrEx>
        <w:tc>
          <w:tcPr>
            <w:tcW w:w="5353" w:type="dxa"/>
            <w:shd w:val="clear" w:color="auto" w:fill="002060"/>
          </w:tcPr>
          <w:p w:rsidR="00E35B00" w:rsidRPr="00E35B00" w:rsidP="00820E67">
            <w:pPr>
              <w:jc w:val="center"/>
              <w:rPr>
                <w:rFonts w:ascii="Times New Roman" w:hAnsi="Times New Roman" w:cs="Times New Roman"/>
              </w:rPr>
            </w:pPr>
            <w:r w:rsidRPr="00E35B00">
              <w:rPr>
                <w:rFonts w:ascii="Times New Roman" w:hAnsi="Times New Roman" w:cs="Times New Roman"/>
              </w:rPr>
              <w:t>PLÁN</w:t>
            </w:r>
          </w:p>
        </w:tc>
        <w:tc>
          <w:tcPr>
            <w:tcW w:w="2693" w:type="dxa"/>
            <w:shd w:val="clear" w:color="auto" w:fill="002060"/>
          </w:tcPr>
          <w:p w:rsidR="00E35B00" w:rsidRPr="00E35B00" w:rsidP="00820E67">
            <w:pPr>
              <w:jc w:val="center"/>
              <w:rPr>
                <w:rFonts w:ascii="Times New Roman" w:hAnsi="Times New Roman" w:cs="Times New Roman"/>
              </w:rPr>
            </w:pPr>
            <w:r w:rsidRPr="00E35B00">
              <w:rPr>
                <w:rFonts w:ascii="Times New Roman" w:hAnsi="Times New Roman" w:cs="Times New Roman"/>
              </w:rPr>
              <w:t>DOTČENÉ SUBJEKTY</w:t>
            </w:r>
          </w:p>
        </w:tc>
        <w:tc>
          <w:tcPr>
            <w:tcW w:w="1134" w:type="dxa"/>
            <w:shd w:val="clear" w:color="auto" w:fill="002060"/>
          </w:tcPr>
          <w:p w:rsidR="00E35B00" w:rsidRPr="00E35B00" w:rsidP="00820E67">
            <w:pPr>
              <w:jc w:val="center"/>
              <w:rPr>
                <w:rFonts w:ascii="Times New Roman" w:hAnsi="Times New Roman" w:cs="Times New Roman"/>
              </w:rPr>
            </w:pPr>
            <w:r w:rsidRPr="00E35B00">
              <w:rPr>
                <w:rFonts w:ascii="Times New Roman" w:hAnsi="Times New Roman" w:cs="Times New Roman"/>
              </w:rPr>
              <w:t>TERMÍN</w:t>
            </w:r>
          </w:p>
        </w:tc>
      </w:tr>
      <w:tr w:rsidTr="00820E67">
        <w:tblPrEx>
          <w:tblW w:w="0" w:type="auto"/>
          <w:shd w:val="solid" w:color="auto" w:fill="auto"/>
          <w:tblLook w:val="04A0"/>
        </w:tblPrEx>
        <w:tc>
          <w:tcPr>
            <w:tcW w:w="5353" w:type="dxa"/>
            <w:shd w:val="clear" w:color="auto" w:fill="auto"/>
          </w:tcPr>
          <w:p w:rsidR="00E35B00" w:rsidRPr="00867155" w:rsidP="00820E67">
            <w:pPr>
              <w:rPr>
                <w:rFonts w:ascii="Times New Roman" w:hAnsi="Times New Roman" w:cs="Times New Roman"/>
                <w:sz w:val="20"/>
                <w:szCs w:val="20"/>
              </w:rPr>
            </w:pPr>
            <w:r w:rsidRPr="00867155">
              <w:rPr>
                <w:rFonts w:ascii="Times New Roman" w:hAnsi="Times New Roman" w:cs="Times New Roman"/>
                <w:sz w:val="20"/>
                <w:szCs w:val="20"/>
              </w:rPr>
              <w:t>Zvážit zavedení jednodušší formy akciové společnosti a případně navrhnout potřebné legislativní změny</w:t>
            </w:r>
          </w:p>
        </w:tc>
        <w:tc>
          <w:tcPr>
            <w:tcW w:w="2693" w:type="dxa"/>
            <w:shd w:val="clear" w:color="auto" w:fill="auto"/>
          </w:tcPr>
          <w:p w:rsidR="00E35B0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 xml:space="preserve">MF, </w:t>
            </w:r>
            <w:r w:rsidRPr="00867155">
              <w:rPr>
                <w:rFonts w:ascii="Times New Roman" w:hAnsi="Times New Roman" w:cs="Times New Roman"/>
                <w:sz w:val="20"/>
                <w:szCs w:val="20"/>
              </w:rPr>
              <w:t>MSp</w:t>
            </w:r>
            <w:r w:rsidRPr="00867155">
              <w:rPr>
                <w:rFonts w:ascii="Times New Roman" w:hAnsi="Times New Roman" w:cs="Times New Roman"/>
                <w:sz w:val="20"/>
                <w:szCs w:val="20"/>
              </w:rPr>
              <w:t>, MPO</w:t>
            </w:r>
          </w:p>
        </w:tc>
        <w:tc>
          <w:tcPr>
            <w:tcW w:w="1134" w:type="dxa"/>
            <w:shd w:val="clear" w:color="auto" w:fill="auto"/>
          </w:tcPr>
          <w:p w:rsidR="00E35B0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2020</w:t>
            </w:r>
          </w:p>
        </w:tc>
      </w:tr>
    </w:tbl>
    <w:p w:rsidR="00B57F5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Zavedení jednodušší formy akciové společnosti bylo navrženo v rámci </w:t>
      </w:r>
      <w:r>
        <w:fldChar w:fldCharType="begin"/>
      </w:r>
      <w:r>
        <w:instrText xml:space="preserve"> HYPERLINK "https://www.mfcr.cz/cs/soukromy-sektor/kapitalovy-trh/podnikani-na-kapitalovem-trhu/2019/verejna-konzultace-planovana-legislativn-35843" </w:instrText>
      </w:r>
      <w:r>
        <w:fldChar w:fldCharType="separate"/>
      </w:r>
      <w:r w:rsidRPr="00BE7555">
        <w:rPr>
          <w:rStyle w:val="Hyperlink"/>
          <w:rFonts w:ascii="Times New Roman" w:hAnsi="Times New Roman" w:cs="Times New Roman"/>
          <w:sz w:val="24"/>
          <w:szCs w:val="24"/>
        </w:rPr>
        <w:t>konzultačního materiálu</w:t>
      </w:r>
      <w:r>
        <w:fldChar w:fldCharType="end"/>
      </w:r>
      <w:r w:rsidR="00385EA2">
        <w:rPr>
          <w:rStyle w:val="Hyperlink"/>
          <w:rFonts w:ascii="Times New Roman" w:hAnsi="Times New Roman" w:cs="Times New Roman"/>
          <w:color w:val="auto"/>
          <w:sz w:val="24"/>
          <w:szCs w:val="24"/>
          <w:u w:val="none"/>
          <w:vertAlign w:val="superscript"/>
        </w:rPr>
        <w:t>63</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ze srpna 2019. Z dalších diskusí s Ministerstvem spravedlnosti vyplynula ale potřeba tuto problematiku diskutovat s odborníky na korporátní právo</w:t>
      </w:r>
      <w:r w:rsidR="00C0569F">
        <w:rPr>
          <w:rFonts w:ascii="Times New Roman" w:hAnsi="Times New Roman" w:cs="Times New Roman"/>
          <w:sz w:val="24"/>
          <w:szCs w:val="24"/>
        </w:rPr>
        <w:t xml:space="preserve"> včetně zástupců akademické sféry</w:t>
      </w:r>
      <w:r>
        <w:rPr>
          <w:rFonts w:ascii="Times New Roman" w:hAnsi="Times New Roman" w:cs="Times New Roman"/>
          <w:sz w:val="24"/>
          <w:szCs w:val="24"/>
        </w:rPr>
        <w:t>. MF připravilo diskusní materiál na toto téma, nicméně jednání s odborníky plánované na ř</w:t>
      </w:r>
      <w:r w:rsidR="00894D70">
        <w:rPr>
          <w:rFonts w:ascii="Times New Roman" w:hAnsi="Times New Roman" w:cs="Times New Roman"/>
          <w:sz w:val="24"/>
          <w:szCs w:val="24"/>
        </w:rPr>
        <w:t>íjen 2020 muselo být odloženo z </w:t>
      </w:r>
      <w:r>
        <w:rPr>
          <w:rFonts w:ascii="Times New Roman" w:hAnsi="Times New Roman" w:cs="Times New Roman"/>
          <w:sz w:val="24"/>
          <w:szCs w:val="24"/>
        </w:rPr>
        <w:t xml:space="preserve">důvodu druhé vlny COVID-19. </w:t>
      </w:r>
      <w:r w:rsidR="00894D70">
        <w:rPr>
          <w:rFonts w:ascii="Times New Roman" w:hAnsi="Times New Roman" w:cs="Times New Roman"/>
          <w:sz w:val="24"/>
          <w:szCs w:val="24"/>
        </w:rPr>
        <w:t xml:space="preserve">Předpokládá se pokračování diskusí na toto téma v roce 2021 </w:t>
      </w:r>
      <w:r w:rsidR="00BE7555">
        <w:rPr>
          <w:rFonts w:ascii="Times New Roman" w:hAnsi="Times New Roman" w:cs="Times New Roman"/>
          <w:sz w:val="24"/>
          <w:szCs w:val="24"/>
        </w:rPr>
        <w:t>(</w:t>
      </w:r>
      <w:r w:rsidR="00894D70">
        <w:rPr>
          <w:rFonts w:ascii="Times New Roman" w:hAnsi="Times New Roman" w:cs="Times New Roman"/>
          <w:sz w:val="24"/>
          <w:szCs w:val="24"/>
        </w:rPr>
        <w:t>a v dalších letech</w:t>
      </w:r>
      <w:r w:rsidR="00BE7555">
        <w:rPr>
          <w:rFonts w:ascii="Times New Roman" w:hAnsi="Times New Roman" w:cs="Times New Roman"/>
          <w:sz w:val="24"/>
          <w:szCs w:val="24"/>
        </w:rPr>
        <w:t>)</w:t>
      </w:r>
      <w:r w:rsidR="00894D70">
        <w:rPr>
          <w:rFonts w:ascii="Times New Roman" w:hAnsi="Times New Roman" w:cs="Times New Roman"/>
          <w:sz w:val="24"/>
          <w:szCs w:val="24"/>
        </w:rPr>
        <w:t>.</w:t>
      </w:r>
      <w:r w:rsidR="00747F50">
        <w:rPr>
          <w:rFonts w:ascii="Times New Roman" w:hAnsi="Times New Roman" w:cs="Times New Roman"/>
          <w:sz w:val="24"/>
          <w:szCs w:val="24"/>
        </w:rPr>
        <w:t xml:space="preserve"> Z nich by mělo zejména vyplynout, zda je tato úprava žádoucí a potřebná.</w:t>
      </w:r>
    </w:p>
    <w:p w:rsidR="00747F50" w:rsidRPr="00747F50" w:rsidP="00867155">
      <w:pPr>
        <w:spacing w:before="120" w:after="120" w:line="240" w:lineRule="auto"/>
        <w:jc w:val="center"/>
        <w:rPr>
          <w:rFonts w:ascii="Times New Roman" w:hAnsi="Times New Roman" w:cs="Times New Roman"/>
          <w:b/>
          <w:i/>
          <w:sz w:val="24"/>
          <w:szCs w:val="24"/>
        </w:rPr>
      </w:pPr>
      <w:r w:rsidRPr="00747F50">
        <w:rPr>
          <w:rFonts w:ascii="Times New Roman" w:hAnsi="Times New Roman" w:cs="Times New Roman"/>
          <w:b/>
          <w:i/>
          <w:sz w:val="24"/>
          <w:szCs w:val="24"/>
        </w:rPr>
        <w:t>11) Standardizace poskytování informací emitenty v angličtině</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747F50" w:rsidRPr="00747F50" w:rsidP="00820E67">
            <w:pPr>
              <w:jc w:val="center"/>
              <w:rPr>
                <w:rFonts w:ascii="Times New Roman" w:hAnsi="Times New Roman" w:cs="Times New Roman"/>
              </w:rPr>
            </w:pPr>
            <w:r w:rsidRPr="00747F50">
              <w:rPr>
                <w:rFonts w:ascii="Times New Roman" w:hAnsi="Times New Roman" w:cs="Times New Roman"/>
              </w:rPr>
              <w:t>PLÁN</w:t>
            </w:r>
          </w:p>
        </w:tc>
        <w:tc>
          <w:tcPr>
            <w:tcW w:w="2693" w:type="dxa"/>
            <w:shd w:val="clear" w:color="auto" w:fill="002060"/>
          </w:tcPr>
          <w:p w:rsidR="00747F50" w:rsidRPr="00747F50" w:rsidP="00820E67">
            <w:pPr>
              <w:jc w:val="center"/>
              <w:rPr>
                <w:rFonts w:ascii="Times New Roman" w:hAnsi="Times New Roman" w:cs="Times New Roman"/>
              </w:rPr>
            </w:pPr>
            <w:r w:rsidRPr="00747F50">
              <w:rPr>
                <w:rFonts w:ascii="Times New Roman" w:hAnsi="Times New Roman" w:cs="Times New Roman"/>
              </w:rPr>
              <w:t>DOTČENÉ SUBJEKTY</w:t>
            </w:r>
          </w:p>
        </w:tc>
        <w:tc>
          <w:tcPr>
            <w:tcW w:w="1134" w:type="dxa"/>
            <w:shd w:val="clear" w:color="auto" w:fill="002060"/>
          </w:tcPr>
          <w:p w:rsidR="00747F50" w:rsidRPr="00747F50" w:rsidP="00820E67">
            <w:pPr>
              <w:jc w:val="center"/>
              <w:rPr>
                <w:rFonts w:ascii="Times New Roman" w:hAnsi="Times New Roman" w:cs="Times New Roman"/>
              </w:rPr>
            </w:pPr>
            <w:r w:rsidRPr="00747F50">
              <w:rPr>
                <w:rFonts w:ascii="Times New Roman" w:hAnsi="Times New Roman" w:cs="Times New Roman"/>
              </w:rPr>
              <w:t>TERMÍN</w:t>
            </w:r>
          </w:p>
        </w:tc>
      </w:tr>
      <w:tr w:rsidTr="00820E67">
        <w:tblPrEx>
          <w:tblW w:w="0" w:type="auto"/>
          <w:shd w:val="solid" w:color="auto" w:fill="auto"/>
          <w:tblLayout w:type="fixed"/>
          <w:tblLook w:val="04A0"/>
        </w:tblPrEx>
        <w:tc>
          <w:tcPr>
            <w:tcW w:w="5353" w:type="dxa"/>
            <w:shd w:val="clear" w:color="auto" w:fill="auto"/>
          </w:tcPr>
          <w:p w:rsidR="00747F50" w:rsidRPr="00867155" w:rsidP="00820E67">
            <w:pPr>
              <w:rPr>
                <w:rFonts w:ascii="Times New Roman" w:hAnsi="Times New Roman" w:cs="Times New Roman"/>
                <w:sz w:val="20"/>
                <w:szCs w:val="20"/>
              </w:rPr>
            </w:pPr>
            <w:r w:rsidRPr="00867155">
              <w:rPr>
                <w:rFonts w:ascii="Times New Roman" w:hAnsi="Times New Roman" w:cs="Times New Roman"/>
                <w:sz w:val="20"/>
                <w:szCs w:val="20"/>
              </w:rPr>
              <w:t>Podporovat uveřejňování dokumentů v angličtině emitenty cenných papírů, zejména pak ve vztahu ke kótovaným emitentům</w:t>
            </w:r>
          </w:p>
        </w:tc>
        <w:tc>
          <w:tcPr>
            <w:tcW w:w="2693" w:type="dxa"/>
            <w:shd w:val="clear" w:color="auto" w:fill="auto"/>
          </w:tcPr>
          <w:p w:rsidR="00747F5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747F5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747F50"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Náklady na překlady do anglického jazyka nejsou zanedbatelné </w:t>
      </w:r>
      <w:r w:rsidR="008004B3">
        <w:rPr>
          <w:rFonts w:ascii="Times New Roman" w:hAnsi="Times New Roman" w:cs="Times New Roman"/>
          <w:sz w:val="24"/>
          <w:szCs w:val="24"/>
        </w:rPr>
        <w:t>a současně je nutno počítat i</w:t>
      </w:r>
      <w:r w:rsidR="00C0569F">
        <w:rPr>
          <w:rFonts w:ascii="Times New Roman" w:hAnsi="Times New Roman" w:cs="Times New Roman"/>
          <w:sz w:val="24"/>
          <w:szCs w:val="24"/>
        </w:rPr>
        <w:t> </w:t>
      </w:r>
      <w:r w:rsidR="008004B3">
        <w:rPr>
          <w:rFonts w:ascii="Times New Roman" w:hAnsi="Times New Roman" w:cs="Times New Roman"/>
          <w:sz w:val="24"/>
          <w:szCs w:val="24"/>
        </w:rPr>
        <w:t>s </w:t>
      </w:r>
      <w:r>
        <w:rPr>
          <w:rFonts w:ascii="Times New Roman" w:hAnsi="Times New Roman" w:cs="Times New Roman"/>
          <w:sz w:val="24"/>
          <w:szCs w:val="24"/>
        </w:rPr>
        <w:t xml:space="preserve">dostatečným časem na překlad. Z tohoto hlediska se zdá logické, že dokumenty pro investory v angličtině uveřejňují pouze emitenti, kteří mají zájem o investice zahraničních investorů. </w:t>
      </w:r>
      <w:r w:rsidR="008004B3">
        <w:rPr>
          <w:rFonts w:ascii="Times New Roman" w:hAnsi="Times New Roman" w:cs="Times New Roman"/>
          <w:sz w:val="24"/>
          <w:szCs w:val="24"/>
        </w:rPr>
        <w:t xml:space="preserve">U většiny emitentů na regulovaném trhu </w:t>
      </w:r>
      <w:r w:rsidR="00C0569F">
        <w:rPr>
          <w:rFonts w:ascii="Times New Roman" w:hAnsi="Times New Roman" w:cs="Times New Roman"/>
          <w:sz w:val="24"/>
          <w:szCs w:val="24"/>
        </w:rPr>
        <w:t>p</w:t>
      </w:r>
      <w:r w:rsidR="008004B3">
        <w:rPr>
          <w:rFonts w:ascii="Times New Roman" w:hAnsi="Times New Roman" w:cs="Times New Roman"/>
          <w:sz w:val="24"/>
          <w:szCs w:val="24"/>
        </w:rPr>
        <w:t>ražské burzy lze informace pro investory v angličtině dohledat</w:t>
      </w:r>
      <w:r w:rsidR="00CB6BB5">
        <w:rPr>
          <w:rFonts w:ascii="Times New Roman" w:hAnsi="Times New Roman" w:cs="Times New Roman"/>
          <w:sz w:val="24"/>
          <w:szCs w:val="24"/>
        </w:rPr>
        <w:t xml:space="preserve"> (včetně například nedávno kótované </w:t>
      </w:r>
      <w:r>
        <w:fldChar w:fldCharType="begin"/>
      </w:r>
      <w:r>
        <w:instrText xml:space="preserve"> HYPERLINK "https://www.czg.cz/investors" </w:instrText>
      </w:r>
      <w:r>
        <w:fldChar w:fldCharType="separate"/>
      </w:r>
      <w:r w:rsidRPr="00CB6BB5" w:rsidR="00CB6BB5">
        <w:rPr>
          <w:rStyle w:val="Hyperlink"/>
          <w:rFonts w:ascii="Times New Roman" w:hAnsi="Times New Roman" w:cs="Times New Roman"/>
          <w:sz w:val="24"/>
          <w:szCs w:val="24"/>
        </w:rPr>
        <w:t>České zbrojovky</w:t>
      </w:r>
      <w:r>
        <w:fldChar w:fldCharType="end"/>
      </w:r>
      <w:r w:rsidR="00385EA2">
        <w:rPr>
          <w:rStyle w:val="Hyperlink"/>
          <w:rFonts w:ascii="Times New Roman" w:hAnsi="Times New Roman" w:cs="Times New Roman"/>
          <w:color w:val="auto"/>
          <w:sz w:val="24"/>
          <w:szCs w:val="24"/>
          <w:u w:val="none"/>
          <w:vertAlign w:val="superscript"/>
        </w:rPr>
        <w:t>64</w:t>
      </w:r>
      <w:r w:rsidRPr="00F261B8" w:rsidR="00385EA2">
        <w:rPr>
          <w:rStyle w:val="Hyperlink"/>
          <w:rFonts w:ascii="Times New Roman" w:hAnsi="Times New Roman" w:cs="Times New Roman"/>
          <w:color w:val="auto"/>
          <w:sz w:val="24"/>
          <w:szCs w:val="24"/>
          <w:u w:val="none"/>
          <w:vertAlign w:val="superscript"/>
        </w:rPr>
        <w:t>)</w:t>
      </w:r>
      <w:r w:rsidR="00CB6BB5">
        <w:rPr>
          <w:rFonts w:ascii="Times New Roman" w:hAnsi="Times New Roman" w:cs="Times New Roman"/>
          <w:sz w:val="24"/>
          <w:szCs w:val="24"/>
        </w:rPr>
        <w:t>)</w:t>
      </w:r>
      <w:r w:rsidR="008004B3">
        <w:rPr>
          <w:rFonts w:ascii="Times New Roman" w:hAnsi="Times New Roman" w:cs="Times New Roman"/>
          <w:sz w:val="24"/>
          <w:szCs w:val="24"/>
        </w:rPr>
        <w:t>, naopak u</w:t>
      </w:r>
      <w:r w:rsidR="00C0569F">
        <w:rPr>
          <w:rFonts w:ascii="Times New Roman" w:hAnsi="Times New Roman" w:cs="Times New Roman"/>
          <w:sz w:val="24"/>
          <w:szCs w:val="24"/>
        </w:rPr>
        <w:t> </w:t>
      </w:r>
      <w:r w:rsidR="008004B3">
        <w:rPr>
          <w:rFonts w:ascii="Times New Roman" w:hAnsi="Times New Roman" w:cs="Times New Roman"/>
          <w:sz w:val="24"/>
          <w:szCs w:val="24"/>
        </w:rPr>
        <w:t>emitentů přijat</w:t>
      </w:r>
      <w:r w:rsidR="00CB6BB5">
        <w:rPr>
          <w:rFonts w:ascii="Times New Roman" w:hAnsi="Times New Roman" w:cs="Times New Roman"/>
          <w:sz w:val="24"/>
          <w:szCs w:val="24"/>
        </w:rPr>
        <w:t>ých k </w:t>
      </w:r>
      <w:r w:rsidR="008004B3">
        <w:rPr>
          <w:rFonts w:ascii="Times New Roman" w:hAnsi="Times New Roman" w:cs="Times New Roman"/>
          <w:sz w:val="24"/>
          <w:szCs w:val="24"/>
        </w:rPr>
        <w:t>obchodování v mnohostranném obchodním systému START jsou informace pro investory poskytován</w:t>
      </w:r>
      <w:r w:rsidR="00C0569F">
        <w:rPr>
          <w:rFonts w:ascii="Times New Roman" w:hAnsi="Times New Roman" w:cs="Times New Roman"/>
          <w:sz w:val="24"/>
          <w:szCs w:val="24"/>
        </w:rPr>
        <w:t>y</w:t>
      </w:r>
      <w:r w:rsidR="008004B3">
        <w:rPr>
          <w:rFonts w:ascii="Times New Roman" w:hAnsi="Times New Roman" w:cs="Times New Roman"/>
          <w:sz w:val="24"/>
          <w:szCs w:val="24"/>
        </w:rPr>
        <w:t xml:space="preserve"> pouze v českém jazyce.</w:t>
      </w:r>
      <w:r w:rsidR="00CB6BB5">
        <w:rPr>
          <w:rFonts w:ascii="Times New Roman" w:hAnsi="Times New Roman" w:cs="Times New Roman"/>
          <w:sz w:val="24"/>
          <w:szCs w:val="24"/>
        </w:rPr>
        <w:t xml:space="preserve"> Ostatně i web trhu START je pouze </w:t>
      </w:r>
      <w:r>
        <w:fldChar w:fldCharType="begin"/>
      </w:r>
      <w:r>
        <w:instrText xml:space="preserve"> HYPERLINK "https://www.pxstart.cz/" </w:instrText>
      </w:r>
      <w:r>
        <w:fldChar w:fldCharType="separate"/>
      </w:r>
      <w:r w:rsidRPr="0025283D" w:rsidR="00CB6BB5">
        <w:rPr>
          <w:rStyle w:val="Hyperlink"/>
          <w:rFonts w:ascii="Times New Roman" w:hAnsi="Times New Roman" w:cs="Times New Roman"/>
          <w:sz w:val="24"/>
          <w:szCs w:val="24"/>
        </w:rPr>
        <w:t>v českém jazyce</w:t>
      </w:r>
      <w:r>
        <w:fldChar w:fldCharType="end"/>
      </w:r>
      <w:r w:rsidR="00385EA2">
        <w:rPr>
          <w:rStyle w:val="Hyperlink"/>
          <w:rFonts w:ascii="Times New Roman" w:hAnsi="Times New Roman" w:cs="Times New Roman"/>
          <w:color w:val="auto"/>
          <w:sz w:val="24"/>
          <w:szCs w:val="24"/>
          <w:u w:val="none"/>
          <w:vertAlign w:val="superscript"/>
        </w:rPr>
        <w:t>65</w:t>
      </w:r>
      <w:r w:rsidRPr="00F261B8" w:rsidR="00385EA2">
        <w:rPr>
          <w:rStyle w:val="Hyperlink"/>
          <w:rFonts w:ascii="Times New Roman" w:hAnsi="Times New Roman" w:cs="Times New Roman"/>
          <w:color w:val="auto"/>
          <w:sz w:val="24"/>
          <w:szCs w:val="24"/>
          <w:u w:val="none"/>
          <w:vertAlign w:val="superscript"/>
        </w:rPr>
        <w:t>)</w:t>
      </w:r>
      <w:r w:rsidR="00CB6BB5">
        <w:rPr>
          <w:rFonts w:ascii="Times New Roman" w:hAnsi="Times New Roman" w:cs="Times New Roman"/>
          <w:sz w:val="24"/>
          <w:szCs w:val="24"/>
        </w:rPr>
        <w:t xml:space="preserve">, ačkoli některé informace </w:t>
      </w:r>
      <w:r w:rsidR="0025283D">
        <w:rPr>
          <w:rFonts w:ascii="Times New Roman" w:hAnsi="Times New Roman" w:cs="Times New Roman"/>
          <w:sz w:val="24"/>
          <w:szCs w:val="24"/>
        </w:rPr>
        <w:t xml:space="preserve">o něm </w:t>
      </w:r>
      <w:r w:rsidR="00CB6BB5">
        <w:rPr>
          <w:rFonts w:ascii="Times New Roman" w:hAnsi="Times New Roman" w:cs="Times New Roman"/>
          <w:sz w:val="24"/>
          <w:szCs w:val="24"/>
        </w:rPr>
        <w:t xml:space="preserve">lze </w:t>
      </w:r>
      <w:r w:rsidR="0025283D">
        <w:rPr>
          <w:rFonts w:ascii="Times New Roman" w:hAnsi="Times New Roman" w:cs="Times New Roman"/>
          <w:sz w:val="24"/>
          <w:szCs w:val="24"/>
        </w:rPr>
        <w:t xml:space="preserve">na webu Pražské burzy </w:t>
      </w:r>
      <w:r w:rsidR="00CB6BB5">
        <w:rPr>
          <w:rFonts w:ascii="Times New Roman" w:hAnsi="Times New Roman" w:cs="Times New Roman"/>
          <w:sz w:val="24"/>
          <w:szCs w:val="24"/>
        </w:rPr>
        <w:t>dohledat i</w:t>
      </w:r>
      <w:r w:rsidR="00C0569F">
        <w:rPr>
          <w:rFonts w:ascii="Times New Roman" w:hAnsi="Times New Roman" w:cs="Times New Roman"/>
          <w:sz w:val="24"/>
          <w:szCs w:val="24"/>
        </w:rPr>
        <w:t> </w:t>
      </w:r>
      <w:r>
        <w:fldChar w:fldCharType="begin"/>
      </w:r>
      <w:r>
        <w:instrText xml:space="preserve"> HYPERLINK "https://www.pse.cz/en/trading/markets/start-market" </w:instrText>
      </w:r>
      <w:r>
        <w:fldChar w:fldCharType="separate"/>
      </w:r>
      <w:r w:rsidRPr="0025283D" w:rsidR="00CB6BB5">
        <w:rPr>
          <w:rStyle w:val="Hyperlink"/>
          <w:rFonts w:ascii="Times New Roman" w:hAnsi="Times New Roman" w:cs="Times New Roman"/>
          <w:sz w:val="24"/>
          <w:szCs w:val="24"/>
        </w:rPr>
        <w:t>v anglickém jazyce</w:t>
      </w:r>
      <w:r>
        <w:fldChar w:fldCharType="end"/>
      </w:r>
      <w:r w:rsidR="00385EA2">
        <w:rPr>
          <w:rStyle w:val="Hyperlink"/>
          <w:rFonts w:ascii="Times New Roman" w:hAnsi="Times New Roman" w:cs="Times New Roman"/>
          <w:color w:val="auto"/>
          <w:sz w:val="24"/>
          <w:szCs w:val="24"/>
          <w:u w:val="none"/>
          <w:vertAlign w:val="superscript"/>
        </w:rPr>
        <w:t>66</w:t>
      </w:r>
      <w:r w:rsidRPr="00F261B8" w:rsidR="00385EA2">
        <w:rPr>
          <w:rStyle w:val="Hyperlink"/>
          <w:rFonts w:ascii="Times New Roman" w:hAnsi="Times New Roman" w:cs="Times New Roman"/>
          <w:color w:val="auto"/>
          <w:sz w:val="24"/>
          <w:szCs w:val="24"/>
          <w:u w:val="none"/>
          <w:vertAlign w:val="superscript"/>
        </w:rPr>
        <w:t>)</w:t>
      </w:r>
      <w:r w:rsidR="00CB6BB5">
        <w:rPr>
          <w:rFonts w:ascii="Times New Roman" w:hAnsi="Times New Roman" w:cs="Times New Roman"/>
          <w:sz w:val="24"/>
          <w:szCs w:val="24"/>
        </w:rPr>
        <w:t xml:space="preserve"> </w:t>
      </w:r>
      <w:r w:rsidR="0025283D">
        <w:rPr>
          <w:rFonts w:ascii="Times New Roman" w:hAnsi="Times New Roman" w:cs="Times New Roman"/>
          <w:sz w:val="24"/>
          <w:szCs w:val="24"/>
        </w:rPr>
        <w:t xml:space="preserve">(zejména </w:t>
      </w:r>
      <w:r>
        <w:fldChar w:fldCharType="begin"/>
      </w:r>
      <w:r>
        <w:instrText xml:space="preserve"> HYPERLINK "https://www.pse.cz/en/market-data/shares/start-market" </w:instrText>
      </w:r>
      <w:r>
        <w:fldChar w:fldCharType="separate"/>
      </w:r>
      <w:r w:rsidRPr="0025283D" w:rsidR="0025283D">
        <w:rPr>
          <w:rStyle w:val="Hyperlink"/>
          <w:rFonts w:ascii="Times New Roman" w:hAnsi="Times New Roman" w:cs="Times New Roman"/>
          <w:sz w:val="24"/>
          <w:szCs w:val="24"/>
        </w:rPr>
        <w:t>data o obchodování</w:t>
      </w:r>
      <w:r>
        <w:fldChar w:fldCharType="end"/>
      </w:r>
      <w:r w:rsidR="00385EA2">
        <w:rPr>
          <w:rStyle w:val="Hyperlink"/>
          <w:rFonts w:ascii="Times New Roman" w:hAnsi="Times New Roman" w:cs="Times New Roman"/>
          <w:color w:val="auto"/>
          <w:sz w:val="24"/>
          <w:szCs w:val="24"/>
          <w:u w:val="none"/>
          <w:vertAlign w:val="superscript"/>
        </w:rPr>
        <w:t>67</w:t>
      </w:r>
      <w:r w:rsidRPr="00F261B8" w:rsidR="00385EA2">
        <w:rPr>
          <w:rStyle w:val="Hyperlink"/>
          <w:rFonts w:ascii="Times New Roman" w:hAnsi="Times New Roman" w:cs="Times New Roman"/>
          <w:color w:val="auto"/>
          <w:sz w:val="24"/>
          <w:szCs w:val="24"/>
          <w:u w:val="none"/>
          <w:vertAlign w:val="superscript"/>
        </w:rPr>
        <w:t>)</w:t>
      </w:r>
      <w:r w:rsidR="0025283D">
        <w:rPr>
          <w:rFonts w:ascii="Times New Roman" w:hAnsi="Times New Roman" w:cs="Times New Roman"/>
          <w:sz w:val="24"/>
          <w:szCs w:val="24"/>
        </w:rPr>
        <w:t xml:space="preserve">). Obecně nelze předpokládat, že emitenti budou informace uveřejňovat v anglickém jazyce, pokud nemají zájem o investice zahraničních </w:t>
      </w:r>
      <w:r w:rsidR="00C0569F">
        <w:rPr>
          <w:rFonts w:ascii="Times New Roman" w:hAnsi="Times New Roman" w:cs="Times New Roman"/>
          <w:sz w:val="24"/>
          <w:szCs w:val="24"/>
        </w:rPr>
        <w:t>investorů</w:t>
      </w:r>
      <w:r w:rsidR="0025283D">
        <w:rPr>
          <w:rFonts w:ascii="Times New Roman" w:hAnsi="Times New Roman" w:cs="Times New Roman"/>
          <w:sz w:val="24"/>
          <w:szCs w:val="24"/>
        </w:rPr>
        <w:t>. Úprava této povinnosti na úrovni zákona se nepředpokládá a</w:t>
      </w:r>
      <w:r w:rsidR="00C0569F">
        <w:rPr>
          <w:rFonts w:ascii="Times New Roman" w:hAnsi="Times New Roman" w:cs="Times New Roman"/>
          <w:sz w:val="24"/>
          <w:szCs w:val="24"/>
        </w:rPr>
        <w:t> </w:t>
      </w:r>
      <w:r w:rsidR="008F1AEA">
        <w:rPr>
          <w:rFonts w:ascii="Times New Roman" w:hAnsi="Times New Roman" w:cs="Times New Roman"/>
          <w:sz w:val="24"/>
          <w:szCs w:val="24"/>
        </w:rPr>
        <w:t>uveřejňová</w:t>
      </w:r>
      <w:r w:rsidR="0025283D">
        <w:rPr>
          <w:rFonts w:ascii="Times New Roman" w:hAnsi="Times New Roman" w:cs="Times New Roman"/>
          <w:sz w:val="24"/>
          <w:szCs w:val="24"/>
        </w:rPr>
        <w:t>ní informací v</w:t>
      </w:r>
      <w:r w:rsidR="00C0569F">
        <w:rPr>
          <w:rFonts w:ascii="Times New Roman" w:hAnsi="Times New Roman" w:cs="Times New Roman"/>
          <w:sz w:val="24"/>
          <w:szCs w:val="24"/>
        </w:rPr>
        <w:t> </w:t>
      </w:r>
      <w:r w:rsidR="0025283D">
        <w:rPr>
          <w:rFonts w:ascii="Times New Roman" w:hAnsi="Times New Roman" w:cs="Times New Roman"/>
          <w:sz w:val="24"/>
          <w:szCs w:val="24"/>
        </w:rPr>
        <w:t>anglickém jazyce se vyžaduje pouze tehdy, po</w:t>
      </w:r>
      <w:r w:rsidR="002E6110">
        <w:rPr>
          <w:rFonts w:ascii="Times New Roman" w:hAnsi="Times New Roman" w:cs="Times New Roman"/>
          <w:sz w:val="24"/>
          <w:szCs w:val="24"/>
        </w:rPr>
        <w:t>kud je to vyžadováno právem EU.</w:t>
      </w:r>
    </w:p>
    <w:p w:rsidR="002E6110" w:rsidRPr="002E6110" w:rsidP="00867155">
      <w:pPr>
        <w:spacing w:before="120" w:after="120" w:line="240" w:lineRule="auto"/>
        <w:jc w:val="center"/>
        <w:rPr>
          <w:rFonts w:ascii="Times New Roman" w:hAnsi="Times New Roman" w:cs="Times New Roman"/>
          <w:b/>
          <w:i/>
          <w:sz w:val="24"/>
          <w:szCs w:val="24"/>
        </w:rPr>
      </w:pPr>
      <w:r w:rsidRPr="002E6110">
        <w:rPr>
          <w:rFonts w:ascii="Times New Roman" w:hAnsi="Times New Roman" w:cs="Times New Roman"/>
          <w:b/>
          <w:i/>
          <w:sz w:val="24"/>
          <w:szCs w:val="24"/>
        </w:rPr>
        <w:t>12) Internacionalizace finančního výkaznictví</w:t>
      </w:r>
    </w:p>
    <w:tbl>
      <w:tblPr>
        <w:tblStyle w:val="Mkatabulky31"/>
        <w:tblW w:w="0" w:type="auto"/>
        <w:shd w:val="solid" w:color="auto" w:fill="auto"/>
        <w:tblLayout w:type="fixed"/>
        <w:tblLook w:val="04A0"/>
      </w:tblPr>
      <w:tblGrid>
        <w:gridCol w:w="5359"/>
        <w:gridCol w:w="2696"/>
        <w:gridCol w:w="1135"/>
      </w:tblGrid>
      <w:tr w:rsidTr="00820E67">
        <w:tblPrEx>
          <w:tblW w:w="0" w:type="auto"/>
          <w:shd w:val="solid" w:color="auto" w:fill="auto"/>
          <w:tblLayout w:type="fixed"/>
          <w:tblLook w:val="04A0"/>
        </w:tblPrEx>
        <w:trPr>
          <w:trHeight w:val="126"/>
        </w:trPr>
        <w:tc>
          <w:tcPr>
            <w:tcW w:w="5359" w:type="dxa"/>
            <w:shd w:val="clear" w:color="auto" w:fill="002060"/>
          </w:tcPr>
          <w:p w:rsidR="002E611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6" w:type="dxa"/>
            <w:shd w:val="clear" w:color="auto" w:fill="002060"/>
          </w:tcPr>
          <w:p w:rsidR="002E611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5" w:type="dxa"/>
            <w:shd w:val="clear" w:color="auto" w:fill="002060"/>
          </w:tcPr>
          <w:p w:rsidR="002E611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20E67">
        <w:tblPrEx>
          <w:tblW w:w="0" w:type="auto"/>
          <w:shd w:val="solid" w:color="auto" w:fill="auto"/>
          <w:tblLayout w:type="fixed"/>
          <w:tblLook w:val="04A0"/>
        </w:tblPrEx>
        <w:trPr>
          <w:trHeight w:val="610"/>
        </w:trPr>
        <w:tc>
          <w:tcPr>
            <w:tcW w:w="5359" w:type="dxa"/>
            <w:shd w:val="clear" w:color="auto" w:fill="auto"/>
          </w:tcPr>
          <w:p w:rsidR="002E6110" w:rsidRPr="00867155" w:rsidP="00820E67">
            <w:pPr>
              <w:rPr>
                <w:rFonts w:ascii="Times New Roman" w:hAnsi="Times New Roman" w:cs="Times New Roman"/>
                <w:sz w:val="20"/>
                <w:szCs w:val="20"/>
              </w:rPr>
            </w:pPr>
            <w:r w:rsidRPr="00867155">
              <w:rPr>
                <w:rFonts w:ascii="Times New Roman" w:hAnsi="Times New Roman" w:cs="Times New Roman"/>
                <w:sz w:val="20"/>
                <w:szCs w:val="20"/>
              </w:rPr>
              <w:t>Revidovat české účetní předpisy s ohledem na IFRS a vyhodnotit možnost využití IFRS i pro daňové účely</w:t>
            </w:r>
          </w:p>
        </w:tc>
        <w:tc>
          <w:tcPr>
            <w:tcW w:w="2696" w:type="dxa"/>
            <w:shd w:val="clear" w:color="auto" w:fill="auto"/>
          </w:tcPr>
          <w:p w:rsidR="002E611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5" w:type="dxa"/>
            <w:shd w:val="clear" w:color="auto" w:fill="auto"/>
          </w:tcPr>
          <w:p w:rsidR="002E6110"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2021</w:t>
            </w:r>
          </w:p>
        </w:tc>
      </w:tr>
    </w:tbl>
    <w:p w:rsidR="002E6110"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Dne 5. </w:t>
      </w:r>
      <w:r w:rsidR="00C0569F">
        <w:rPr>
          <w:rFonts w:ascii="Times New Roman" w:hAnsi="Times New Roman" w:cs="Times New Roman"/>
          <w:sz w:val="24"/>
          <w:szCs w:val="24"/>
        </w:rPr>
        <w:t xml:space="preserve">10. </w:t>
      </w:r>
      <w:r>
        <w:rPr>
          <w:rFonts w:ascii="Times New Roman" w:hAnsi="Times New Roman" w:cs="Times New Roman"/>
          <w:sz w:val="24"/>
          <w:szCs w:val="24"/>
        </w:rPr>
        <w:t xml:space="preserve">2020 schválila vláda </w:t>
      </w:r>
      <w:r>
        <w:fldChar w:fldCharType="begin"/>
      </w:r>
      <w:r>
        <w:instrText xml:space="preserve"> HYPERLINK "https://www.mfcr.cz/cs/aktualne/tiskove-zpravy/2020/vlada-schvalila-navrh-vecneho-zameru-nov-39636" </w:instrText>
      </w:r>
      <w:r>
        <w:fldChar w:fldCharType="separate"/>
      </w:r>
      <w:r w:rsidRPr="00BB2E8B">
        <w:rPr>
          <w:rStyle w:val="Hyperlink"/>
          <w:rFonts w:ascii="Times New Roman" w:hAnsi="Times New Roman" w:cs="Times New Roman"/>
          <w:sz w:val="24"/>
          <w:szCs w:val="24"/>
        </w:rPr>
        <w:t>věcný záměr nového zákona o účetnictví</w:t>
      </w:r>
      <w:r>
        <w:fldChar w:fldCharType="end"/>
      </w:r>
      <w:r w:rsidR="00385EA2">
        <w:rPr>
          <w:rStyle w:val="Hyperlink"/>
          <w:rFonts w:ascii="Times New Roman" w:hAnsi="Times New Roman" w:cs="Times New Roman"/>
          <w:color w:val="auto"/>
          <w:sz w:val="24"/>
          <w:szCs w:val="24"/>
          <w:u w:val="none"/>
          <w:vertAlign w:val="superscript"/>
        </w:rPr>
        <w:t>68</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který </w:t>
      </w:r>
      <w:r w:rsidRPr="00236379" w:rsidR="00236379">
        <w:rPr>
          <w:rFonts w:ascii="Times New Roman" w:hAnsi="Times New Roman" w:cs="Times New Roman"/>
          <w:sz w:val="24"/>
          <w:szCs w:val="24"/>
        </w:rPr>
        <w:t>navrhuje rozšíření použití mezinárodních účetních standardů (IFRS) při sestavování účetní závěrky některými subjekty působícími na finančním trhu</w:t>
      </w:r>
      <w:r w:rsidR="00BB2E8B">
        <w:rPr>
          <w:rFonts w:ascii="Times New Roman" w:hAnsi="Times New Roman" w:cs="Times New Roman"/>
          <w:sz w:val="24"/>
          <w:szCs w:val="24"/>
        </w:rPr>
        <w:t xml:space="preserve">. </w:t>
      </w:r>
      <w:r>
        <w:rPr>
          <w:rFonts w:ascii="Times New Roman" w:hAnsi="Times New Roman" w:cs="Times New Roman"/>
          <w:sz w:val="24"/>
          <w:szCs w:val="24"/>
        </w:rPr>
        <w:t xml:space="preserve">Také se předpokládá, že emitenti, kteří vyhotovují účetní výkazy podle </w:t>
      </w:r>
      <w:r w:rsidR="00BB2E8B">
        <w:rPr>
          <w:rFonts w:ascii="Times New Roman" w:hAnsi="Times New Roman" w:cs="Times New Roman"/>
          <w:sz w:val="24"/>
          <w:szCs w:val="24"/>
        </w:rPr>
        <w:t>IFRS, budou moci v</w:t>
      </w:r>
      <w:r w:rsidRPr="00BB2E8B" w:rsidR="00BB2E8B">
        <w:rPr>
          <w:rFonts w:ascii="Times New Roman" w:hAnsi="Times New Roman" w:cs="Times New Roman"/>
          <w:sz w:val="24"/>
          <w:szCs w:val="24"/>
        </w:rPr>
        <w:t>ýsledek hospodaření zjištěný podle těchto standardů</w:t>
      </w:r>
      <w:r w:rsidR="00BB2E8B">
        <w:rPr>
          <w:rFonts w:ascii="Times New Roman" w:hAnsi="Times New Roman" w:cs="Times New Roman"/>
          <w:sz w:val="24"/>
          <w:szCs w:val="24"/>
        </w:rPr>
        <w:t xml:space="preserve"> využí</w:t>
      </w:r>
      <w:r w:rsidRPr="00BB2E8B" w:rsidR="00BB2E8B">
        <w:rPr>
          <w:rFonts w:ascii="Times New Roman" w:hAnsi="Times New Roman" w:cs="Times New Roman"/>
          <w:sz w:val="24"/>
          <w:szCs w:val="24"/>
        </w:rPr>
        <w:t>t i pro stanovení základu daně z příjmů</w:t>
      </w:r>
      <w:r w:rsidR="00BB2E8B">
        <w:rPr>
          <w:rFonts w:ascii="Times New Roman" w:hAnsi="Times New Roman" w:cs="Times New Roman"/>
          <w:sz w:val="24"/>
          <w:szCs w:val="24"/>
        </w:rPr>
        <w:t>. Obecně lze předpokládat, že nový zákon o účetnictví bude mít pozitivní vliv i na rozvoj kapitálového trhu v ČR.</w:t>
      </w:r>
    </w:p>
    <w:p w:rsidR="00BB2E8B" w:rsidRPr="00787D74" w:rsidP="00867155">
      <w:pPr>
        <w:spacing w:before="120" w:after="120" w:line="240" w:lineRule="auto"/>
        <w:jc w:val="center"/>
        <w:rPr>
          <w:rFonts w:ascii="Times New Roman" w:hAnsi="Times New Roman" w:cs="Times New Roman"/>
          <w:b/>
          <w:i/>
          <w:sz w:val="24"/>
          <w:szCs w:val="24"/>
        </w:rPr>
      </w:pPr>
      <w:r w:rsidRPr="00787D74">
        <w:rPr>
          <w:rFonts w:ascii="Times New Roman" w:hAnsi="Times New Roman" w:cs="Times New Roman"/>
          <w:b/>
          <w:i/>
          <w:sz w:val="24"/>
          <w:szCs w:val="24"/>
        </w:rPr>
        <w:t>13) Vytvoření a implementace tabulky hodnocení správy a řízení společností</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787D74" w:rsidRPr="00787D74" w:rsidP="00820E67">
            <w:pPr>
              <w:jc w:val="center"/>
              <w:rPr>
                <w:rFonts w:ascii="Times New Roman" w:hAnsi="Times New Roman" w:cs="Times New Roman"/>
              </w:rPr>
            </w:pPr>
            <w:r w:rsidRPr="00787D74">
              <w:rPr>
                <w:rFonts w:ascii="Times New Roman" w:hAnsi="Times New Roman" w:cs="Times New Roman"/>
              </w:rPr>
              <w:t>PLÁN</w:t>
            </w:r>
          </w:p>
        </w:tc>
        <w:tc>
          <w:tcPr>
            <w:tcW w:w="2693" w:type="dxa"/>
            <w:shd w:val="clear" w:color="auto" w:fill="002060"/>
          </w:tcPr>
          <w:p w:rsidR="00787D74" w:rsidRPr="00787D74" w:rsidP="00820E67">
            <w:pPr>
              <w:rPr>
                <w:rFonts w:ascii="Times New Roman" w:hAnsi="Times New Roman" w:cs="Times New Roman"/>
              </w:rPr>
            </w:pPr>
            <w:r w:rsidRPr="00787D74">
              <w:rPr>
                <w:rFonts w:ascii="Times New Roman" w:hAnsi="Times New Roman" w:cs="Times New Roman"/>
              </w:rPr>
              <w:t>DOTČENÉ SUBJEKTY</w:t>
            </w:r>
          </w:p>
        </w:tc>
        <w:tc>
          <w:tcPr>
            <w:tcW w:w="1134" w:type="dxa"/>
            <w:shd w:val="clear" w:color="auto" w:fill="002060"/>
          </w:tcPr>
          <w:p w:rsidR="00787D74" w:rsidRPr="00787D74" w:rsidP="00820E67">
            <w:pPr>
              <w:rPr>
                <w:rFonts w:ascii="Times New Roman" w:hAnsi="Times New Roman" w:cs="Times New Roman"/>
              </w:rPr>
            </w:pPr>
            <w:r w:rsidRPr="00787D74">
              <w:rPr>
                <w:rFonts w:ascii="Times New Roman" w:hAnsi="Times New Roman" w:cs="Times New Roman"/>
              </w:rPr>
              <w:t>TERMÍN</w:t>
            </w:r>
          </w:p>
        </w:tc>
      </w:tr>
      <w:tr w:rsidTr="00820E67">
        <w:tblPrEx>
          <w:tblW w:w="0" w:type="auto"/>
          <w:shd w:val="solid" w:color="auto" w:fill="auto"/>
          <w:tblLayout w:type="fixed"/>
          <w:tblLook w:val="04A0"/>
        </w:tblPrEx>
        <w:tc>
          <w:tcPr>
            <w:tcW w:w="5353" w:type="dxa"/>
            <w:shd w:val="clear" w:color="auto" w:fill="auto"/>
          </w:tcPr>
          <w:p w:rsidR="00787D74" w:rsidRPr="00867155" w:rsidP="00820E67">
            <w:pPr>
              <w:rPr>
                <w:rFonts w:ascii="Times New Roman" w:hAnsi="Times New Roman" w:cs="Times New Roman"/>
                <w:sz w:val="20"/>
                <w:szCs w:val="20"/>
              </w:rPr>
            </w:pPr>
            <w:r w:rsidRPr="00867155">
              <w:rPr>
                <w:rFonts w:ascii="Times New Roman" w:hAnsi="Times New Roman" w:cs="Times New Roman"/>
                <w:sz w:val="20"/>
                <w:szCs w:val="20"/>
              </w:rPr>
              <w:t xml:space="preserve">Podpořit vytvoření a využívání tabulky hodnocení řízení společností </w:t>
            </w:r>
          </w:p>
        </w:tc>
        <w:tc>
          <w:tcPr>
            <w:tcW w:w="2693" w:type="dxa"/>
            <w:shd w:val="clear" w:color="auto" w:fill="auto"/>
          </w:tcPr>
          <w:p w:rsidR="00787D74"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 xml:space="preserve">MF, </w:t>
            </w:r>
            <w:r w:rsidRPr="00867155">
              <w:rPr>
                <w:rFonts w:ascii="Times New Roman" w:hAnsi="Times New Roman" w:cs="Times New Roman"/>
                <w:sz w:val="20"/>
                <w:szCs w:val="20"/>
              </w:rPr>
              <w:t>MSp</w:t>
            </w:r>
            <w:r w:rsidRPr="00867155">
              <w:rPr>
                <w:rFonts w:ascii="Times New Roman" w:hAnsi="Times New Roman" w:cs="Times New Roman"/>
                <w:sz w:val="20"/>
                <w:szCs w:val="20"/>
              </w:rPr>
              <w:t>, BCPP</w:t>
            </w:r>
          </w:p>
        </w:tc>
        <w:tc>
          <w:tcPr>
            <w:tcW w:w="1134" w:type="dxa"/>
            <w:shd w:val="clear" w:color="auto" w:fill="auto"/>
          </w:tcPr>
          <w:p w:rsidR="00787D74" w:rsidRPr="00867155" w:rsidP="00820E67">
            <w:pPr>
              <w:rPr>
                <w:rFonts w:ascii="Times New Roman" w:hAnsi="Times New Roman" w:cs="Times New Roman"/>
                <w:sz w:val="20"/>
                <w:szCs w:val="20"/>
              </w:rPr>
            </w:pPr>
            <w:r w:rsidRPr="00867155">
              <w:rPr>
                <w:rFonts w:ascii="Times New Roman" w:hAnsi="Times New Roman" w:cs="Times New Roman"/>
                <w:sz w:val="20"/>
                <w:szCs w:val="20"/>
              </w:rPr>
              <w:t>Q4 2020</w:t>
            </w:r>
          </w:p>
        </w:tc>
      </w:tr>
    </w:tbl>
    <w:p w:rsidR="00787D74"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Nezávislá nezisková organizace Czech </w:t>
      </w:r>
      <w:r>
        <w:rPr>
          <w:rFonts w:ascii="Times New Roman" w:hAnsi="Times New Roman" w:cs="Times New Roman"/>
          <w:sz w:val="24"/>
          <w:szCs w:val="24"/>
        </w:rPr>
        <w:t>Insitute</w:t>
      </w:r>
      <w:r>
        <w:rPr>
          <w:rFonts w:ascii="Times New Roman" w:hAnsi="Times New Roman" w:cs="Times New Roman"/>
          <w:sz w:val="24"/>
          <w:szCs w:val="24"/>
        </w:rPr>
        <w:t xml:space="preserve"> </w:t>
      </w:r>
      <w:r>
        <w:rPr>
          <w:rFonts w:ascii="Times New Roman" w:hAnsi="Times New Roman" w:cs="Times New Roman"/>
          <w:sz w:val="24"/>
          <w:szCs w:val="24"/>
        </w:rPr>
        <w:t>of</w:t>
      </w:r>
      <w:r>
        <w:rPr>
          <w:rFonts w:ascii="Times New Roman" w:hAnsi="Times New Roman" w:cs="Times New Roman"/>
          <w:sz w:val="24"/>
          <w:szCs w:val="24"/>
        </w:rPr>
        <w:t xml:space="preserve"> </w:t>
      </w:r>
      <w:r>
        <w:rPr>
          <w:rFonts w:ascii="Times New Roman" w:hAnsi="Times New Roman" w:cs="Times New Roman"/>
          <w:sz w:val="24"/>
          <w:szCs w:val="24"/>
        </w:rPr>
        <w:t>Directors</w:t>
      </w:r>
      <w:r>
        <w:rPr>
          <w:rFonts w:ascii="Times New Roman" w:hAnsi="Times New Roman" w:cs="Times New Roman"/>
          <w:sz w:val="24"/>
          <w:szCs w:val="24"/>
        </w:rPr>
        <w:t xml:space="preserve"> vydala 27. </w:t>
      </w:r>
      <w:r w:rsidR="00C0569F">
        <w:rPr>
          <w:rFonts w:ascii="Times New Roman" w:hAnsi="Times New Roman" w:cs="Times New Roman"/>
          <w:sz w:val="24"/>
          <w:szCs w:val="24"/>
        </w:rPr>
        <w:t xml:space="preserve">9. </w:t>
      </w:r>
      <w:r>
        <w:rPr>
          <w:rFonts w:ascii="Times New Roman" w:hAnsi="Times New Roman" w:cs="Times New Roman"/>
          <w:sz w:val="24"/>
          <w:szCs w:val="24"/>
        </w:rPr>
        <w:t xml:space="preserve">2018 </w:t>
      </w:r>
      <w:r>
        <w:fldChar w:fldCharType="begin"/>
      </w:r>
      <w:r>
        <w:instrText xml:space="preserve"> HYPERLINK "https://www.cginstitut.cz/cs/czech-institute-of-directors-prave-vydal-kodex-spravy-a-rizeni-spolecnosti-cr-2018/" </w:instrText>
      </w:r>
      <w:r>
        <w:fldChar w:fldCharType="separate"/>
      </w:r>
      <w:r w:rsidRPr="00865300">
        <w:rPr>
          <w:rStyle w:val="Hyperlink"/>
          <w:rFonts w:ascii="Times New Roman" w:hAnsi="Times New Roman" w:cs="Times New Roman"/>
          <w:sz w:val="24"/>
          <w:szCs w:val="24"/>
        </w:rPr>
        <w:t>Kodex správy a řízení společností ČR 2018</w:t>
      </w:r>
      <w:r>
        <w:fldChar w:fldCharType="end"/>
      </w:r>
      <w:r w:rsidR="00385EA2">
        <w:rPr>
          <w:rStyle w:val="Hyperlink"/>
          <w:rFonts w:ascii="Times New Roman" w:hAnsi="Times New Roman" w:cs="Times New Roman"/>
          <w:color w:val="auto"/>
          <w:sz w:val="24"/>
          <w:szCs w:val="24"/>
          <w:u w:val="none"/>
          <w:vertAlign w:val="superscript"/>
        </w:rPr>
        <w:t>69</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který nahradil obdobný </w:t>
      </w:r>
      <w:r w:rsidR="00865300">
        <w:rPr>
          <w:rFonts w:ascii="Times New Roman" w:hAnsi="Times New Roman" w:cs="Times New Roman"/>
          <w:sz w:val="24"/>
          <w:szCs w:val="24"/>
        </w:rPr>
        <w:t xml:space="preserve">český </w:t>
      </w:r>
      <w:r>
        <w:fldChar w:fldCharType="begin"/>
      </w:r>
      <w:r>
        <w:instrText xml:space="preserve"> HYPERLINK "https://www.mfcr.cz/cs/archiv/transformacni-instituce/agenda-byvaleho-fnm/sprava-majetku/kodex-spravy-a-rizeni-spolecnosti-corpor/kodex-spravy-a-rizeni-spolecnosti-zaloze-14620" </w:instrText>
      </w:r>
      <w:r>
        <w:fldChar w:fldCharType="separate"/>
      </w:r>
      <w:r w:rsidRPr="00865300">
        <w:rPr>
          <w:rStyle w:val="Hyperlink"/>
          <w:rFonts w:ascii="Times New Roman" w:hAnsi="Times New Roman" w:cs="Times New Roman"/>
          <w:sz w:val="24"/>
          <w:szCs w:val="24"/>
        </w:rPr>
        <w:t xml:space="preserve">kodex </w:t>
      </w:r>
      <w:r w:rsidRPr="00865300" w:rsidR="00865300">
        <w:rPr>
          <w:rStyle w:val="Hyperlink"/>
          <w:rFonts w:ascii="Times New Roman" w:hAnsi="Times New Roman" w:cs="Times New Roman"/>
          <w:sz w:val="24"/>
          <w:szCs w:val="24"/>
        </w:rPr>
        <w:t>z roku 2004</w:t>
      </w:r>
      <w:r>
        <w:fldChar w:fldCharType="end"/>
      </w:r>
      <w:r w:rsidR="00385EA2">
        <w:rPr>
          <w:rStyle w:val="Hyperlink"/>
          <w:rFonts w:ascii="Times New Roman" w:hAnsi="Times New Roman" w:cs="Times New Roman"/>
          <w:color w:val="auto"/>
          <w:sz w:val="24"/>
          <w:szCs w:val="24"/>
          <w:u w:val="none"/>
          <w:vertAlign w:val="superscript"/>
        </w:rPr>
        <w:t>70</w:t>
      </w:r>
      <w:r w:rsidRPr="00F261B8" w:rsidR="00385EA2">
        <w:rPr>
          <w:rStyle w:val="Hyperlink"/>
          <w:rFonts w:ascii="Times New Roman" w:hAnsi="Times New Roman" w:cs="Times New Roman"/>
          <w:color w:val="auto"/>
          <w:sz w:val="24"/>
          <w:szCs w:val="24"/>
          <w:u w:val="none"/>
          <w:vertAlign w:val="superscript"/>
        </w:rPr>
        <w:t>)</w:t>
      </w:r>
      <w:r w:rsidR="00865300">
        <w:rPr>
          <w:rFonts w:ascii="Times New Roman" w:hAnsi="Times New Roman" w:cs="Times New Roman"/>
          <w:sz w:val="24"/>
          <w:szCs w:val="24"/>
        </w:rPr>
        <w:t xml:space="preserve">, který vznikl na půdě Komise pro cenné papíry. </w:t>
      </w:r>
      <w:r w:rsidRPr="00865300" w:rsidR="00865300">
        <w:rPr>
          <w:rFonts w:ascii="Times New Roman" w:hAnsi="Times New Roman" w:cs="Times New Roman"/>
          <w:sz w:val="24"/>
          <w:szCs w:val="24"/>
        </w:rPr>
        <w:t>Nový Kodex správy a řízení společností ČR vznikl v</w:t>
      </w:r>
      <w:r w:rsidR="00BB5EDB">
        <w:rPr>
          <w:rFonts w:ascii="Times New Roman" w:hAnsi="Times New Roman" w:cs="Times New Roman"/>
          <w:sz w:val="24"/>
          <w:szCs w:val="24"/>
        </w:rPr>
        <w:t> </w:t>
      </w:r>
      <w:r w:rsidRPr="00865300" w:rsidR="00865300">
        <w:rPr>
          <w:rFonts w:ascii="Times New Roman" w:hAnsi="Times New Roman" w:cs="Times New Roman"/>
          <w:sz w:val="24"/>
          <w:szCs w:val="24"/>
        </w:rPr>
        <w:t xml:space="preserve">partnerství s poradenskou společností </w:t>
      </w:r>
      <w:r w:rsidRPr="00865300" w:rsidR="00865300">
        <w:rPr>
          <w:rFonts w:ascii="Times New Roman" w:hAnsi="Times New Roman" w:cs="Times New Roman"/>
          <w:sz w:val="24"/>
          <w:szCs w:val="24"/>
        </w:rPr>
        <w:t>Deloitte</w:t>
      </w:r>
      <w:r w:rsidRPr="00865300" w:rsidR="00865300">
        <w:rPr>
          <w:rFonts w:ascii="Times New Roman" w:hAnsi="Times New Roman" w:cs="Times New Roman"/>
          <w:sz w:val="24"/>
          <w:szCs w:val="24"/>
        </w:rPr>
        <w:t xml:space="preserve"> a za pomoci mnoha významných institucí, ke kterým patří Komora auditorů, </w:t>
      </w:r>
      <w:r w:rsidR="00501DEF">
        <w:rPr>
          <w:rFonts w:ascii="Times New Roman" w:hAnsi="Times New Roman" w:cs="Times New Roman"/>
          <w:sz w:val="24"/>
          <w:szCs w:val="24"/>
        </w:rPr>
        <w:t>ČNB</w:t>
      </w:r>
      <w:r w:rsidRPr="00865300" w:rsidR="00865300">
        <w:rPr>
          <w:rFonts w:ascii="Times New Roman" w:hAnsi="Times New Roman" w:cs="Times New Roman"/>
          <w:sz w:val="24"/>
          <w:szCs w:val="24"/>
        </w:rPr>
        <w:t xml:space="preserve">, Burza cenných papírů Praha, </w:t>
      </w:r>
      <w:r w:rsidR="00865300">
        <w:rPr>
          <w:rFonts w:ascii="Times New Roman" w:hAnsi="Times New Roman" w:cs="Times New Roman"/>
          <w:sz w:val="24"/>
          <w:szCs w:val="24"/>
        </w:rPr>
        <w:t>MF</w:t>
      </w:r>
      <w:r w:rsidRPr="00865300" w:rsidR="00865300">
        <w:rPr>
          <w:rFonts w:ascii="Times New Roman" w:hAnsi="Times New Roman" w:cs="Times New Roman"/>
          <w:sz w:val="24"/>
          <w:szCs w:val="24"/>
        </w:rPr>
        <w:t>, Ministerstvo sprav</w:t>
      </w:r>
      <w:r w:rsidR="00865300">
        <w:rPr>
          <w:rFonts w:ascii="Times New Roman" w:hAnsi="Times New Roman" w:cs="Times New Roman"/>
          <w:sz w:val="24"/>
          <w:szCs w:val="24"/>
        </w:rPr>
        <w:t>edlnosti, Hospodářská komora a</w:t>
      </w:r>
      <w:r w:rsidRPr="00865300" w:rsidR="00865300">
        <w:rPr>
          <w:rFonts w:ascii="Times New Roman" w:hAnsi="Times New Roman" w:cs="Times New Roman"/>
          <w:sz w:val="24"/>
          <w:szCs w:val="24"/>
        </w:rPr>
        <w:t xml:space="preserve"> Český </w:t>
      </w:r>
      <w:r w:rsidR="00865300">
        <w:rPr>
          <w:rFonts w:ascii="Times New Roman" w:hAnsi="Times New Roman" w:cs="Times New Roman"/>
          <w:sz w:val="24"/>
          <w:szCs w:val="24"/>
        </w:rPr>
        <w:t xml:space="preserve">institut interních auditorů. </w:t>
      </w:r>
      <w:r w:rsidR="00BE7555">
        <w:rPr>
          <w:rFonts w:ascii="Times New Roman" w:hAnsi="Times New Roman" w:cs="Times New Roman"/>
          <w:sz w:val="24"/>
          <w:szCs w:val="24"/>
        </w:rPr>
        <w:t xml:space="preserve">Czech Institute </w:t>
      </w:r>
      <w:r w:rsidR="00BE7555">
        <w:rPr>
          <w:rFonts w:ascii="Times New Roman" w:hAnsi="Times New Roman" w:cs="Times New Roman"/>
          <w:sz w:val="24"/>
          <w:szCs w:val="24"/>
        </w:rPr>
        <w:t>of</w:t>
      </w:r>
      <w:r w:rsidR="00BE7555">
        <w:rPr>
          <w:rFonts w:ascii="Times New Roman" w:hAnsi="Times New Roman" w:cs="Times New Roman"/>
          <w:sz w:val="24"/>
          <w:szCs w:val="24"/>
        </w:rPr>
        <w:t xml:space="preserve"> </w:t>
      </w:r>
      <w:r w:rsidRPr="0042190D" w:rsidR="00BE7555">
        <w:rPr>
          <w:rFonts w:ascii="Times New Roman" w:hAnsi="Times New Roman" w:cs="Times New Roman"/>
          <w:sz w:val="24"/>
          <w:szCs w:val="24"/>
        </w:rPr>
        <w:t>Directors</w:t>
      </w:r>
      <w:r w:rsidRPr="0042190D" w:rsidR="00BE7555">
        <w:rPr>
          <w:rFonts w:ascii="Times New Roman" w:hAnsi="Times New Roman" w:cs="Times New Roman"/>
          <w:sz w:val="24"/>
          <w:szCs w:val="24"/>
        </w:rPr>
        <w:t xml:space="preserve"> dále od podzimu 2019 provádí zhodnocení úrovně</w:t>
      </w:r>
      <w:r w:rsidRPr="0042190D" w:rsidR="00CF5955">
        <w:rPr>
          <w:rFonts w:ascii="Times New Roman" w:hAnsi="Times New Roman" w:cs="Times New Roman"/>
          <w:sz w:val="24"/>
          <w:szCs w:val="24"/>
        </w:rPr>
        <w:t xml:space="preserve"> správy a řízení společností</w:t>
      </w:r>
      <w:r w:rsidRPr="0042190D" w:rsidR="00BE7555">
        <w:rPr>
          <w:rFonts w:ascii="Times New Roman" w:hAnsi="Times New Roman" w:cs="Times New Roman"/>
          <w:sz w:val="24"/>
          <w:szCs w:val="24"/>
        </w:rPr>
        <w:t xml:space="preserve"> </w:t>
      </w:r>
      <w:r w:rsidRPr="0042190D" w:rsidR="00CF5955">
        <w:rPr>
          <w:rFonts w:ascii="Times New Roman" w:hAnsi="Times New Roman" w:cs="Times New Roman"/>
          <w:sz w:val="24"/>
          <w:szCs w:val="24"/>
        </w:rPr>
        <w:t>(</w:t>
      </w:r>
      <w:r w:rsidRPr="0042190D" w:rsidR="00BE7555">
        <w:rPr>
          <w:rFonts w:ascii="Times New Roman" w:hAnsi="Times New Roman" w:cs="Times New Roman"/>
          <w:sz w:val="24"/>
          <w:szCs w:val="24"/>
        </w:rPr>
        <w:t>corporate</w:t>
      </w:r>
      <w:r w:rsidRPr="0042190D" w:rsidR="00D334F4">
        <w:rPr>
          <w:rFonts w:ascii="Times New Roman" w:hAnsi="Times New Roman" w:cs="Times New Roman"/>
          <w:sz w:val="24"/>
          <w:szCs w:val="24"/>
        </w:rPr>
        <w:t xml:space="preserve"> </w:t>
      </w:r>
      <w:r w:rsidRPr="0042190D" w:rsidR="00D334F4">
        <w:rPr>
          <w:rFonts w:ascii="Times New Roman" w:hAnsi="Times New Roman" w:cs="Times New Roman"/>
          <w:sz w:val="24"/>
          <w:szCs w:val="24"/>
        </w:rPr>
        <w:t>governance</w:t>
      </w:r>
      <w:r w:rsidRPr="0042190D" w:rsidR="00CF5955">
        <w:rPr>
          <w:rFonts w:ascii="Times New Roman" w:hAnsi="Times New Roman" w:cs="Times New Roman"/>
          <w:sz w:val="24"/>
          <w:szCs w:val="24"/>
        </w:rPr>
        <w:t>)</w:t>
      </w:r>
      <w:r w:rsidRPr="0042190D" w:rsidR="00D334F4">
        <w:rPr>
          <w:rFonts w:ascii="Times New Roman" w:hAnsi="Times New Roman" w:cs="Times New Roman"/>
          <w:sz w:val="24"/>
          <w:szCs w:val="24"/>
        </w:rPr>
        <w:t xml:space="preserve"> pomocí </w:t>
      </w:r>
      <w:r w:rsidRPr="0042190D" w:rsidR="00BE7555">
        <w:rPr>
          <w:rFonts w:ascii="Times New Roman" w:hAnsi="Times New Roman" w:cs="Times New Roman"/>
          <w:sz w:val="24"/>
          <w:szCs w:val="24"/>
        </w:rPr>
        <w:t xml:space="preserve">nástroje nazvaného </w:t>
      </w:r>
      <w:r>
        <w:fldChar w:fldCharType="begin"/>
      </w:r>
      <w:r>
        <w:instrText xml:space="preserve"> HYPERLINK "https://www.cginstitut.cz/cs/corporate-governance-scorecard/" </w:instrText>
      </w:r>
      <w:r>
        <w:fldChar w:fldCharType="separate"/>
      </w:r>
      <w:r w:rsidRPr="0042190D" w:rsidR="00BE7555">
        <w:rPr>
          <w:rStyle w:val="Hyperlink"/>
          <w:rFonts w:ascii="Times New Roman" w:hAnsi="Times New Roman" w:cs="Times New Roman"/>
          <w:sz w:val="24"/>
          <w:szCs w:val="24"/>
        </w:rPr>
        <w:t>Corporate</w:t>
      </w:r>
      <w:r w:rsidRPr="0042190D" w:rsidR="00BE7555">
        <w:rPr>
          <w:rStyle w:val="Hyperlink"/>
          <w:rFonts w:ascii="Times New Roman" w:hAnsi="Times New Roman" w:cs="Times New Roman"/>
          <w:sz w:val="24"/>
          <w:szCs w:val="24"/>
        </w:rPr>
        <w:t xml:space="preserve"> </w:t>
      </w:r>
      <w:r w:rsidRPr="0042190D" w:rsidR="00BE7555">
        <w:rPr>
          <w:rStyle w:val="Hyperlink"/>
          <w:rFonts w:ascii="Times New Roman" w:hAnsi="Times New Roman" w:cs="Times New Roman"/>
          <w:sz w:val="24"/>
          <w:szCs w:val="24"/>
        </w:rPr>
        <w:t>Governance</w:t>
      </w:r>
      <w:r w:rsidRPr="0042190D" w:rsidR="00BE7555">
        <w:rPr>
          <w:rStyle w:val="Hyperlink"/>
          <w:rFonts w:ascii="Times New Roman" w:hAnsi="Times New Roman" w:cs="Times New Roman"/>
          <w:sz w:val="24"/>
          <w:szCs w:val="24"/>
        </w:rPr>
        <w:t xml:space="preserve"> ScoreCard</w:t>
      </w:r>
      <w:r>
        <w:fldChar w:fldCharType="end"/>
      </w:r>
      <w:r w:rsidR="00385EA2">
        <w:rPr>
          <w:rStyle w:val="Hyperlink"/>
          <w:rFonts w:ascii="Times New Roman" w:hAnsi="Times New Roman" w:cs="Times New Roman"/>
          <w:color w:val="auto"/>
          <w:sz w:val="24"/>
          <w:szCs w:val="24"/>
          <w:u w:val="none"/>
          <w:vertAlign w:val="superscript"/>
        </w:rPr>
        <w:t>71</w:t>
      </w:r>
      <w:r w:rsidRPr="00F261B8" w:rsidR="00385EA2">
        <w:rPr>
          <w:rStyle w:val="Hyperlink"/>
          <w:rFonts w:ascii="Times New Roman" w:hAnsi="Times New Roman" w:cs="Times New Roman"/>
          <w:color w:val="auto"/>
          <w:sz w:val="24"/>
          <w:szCs w:val="24"/>
          <w:u w:val="none"/>
          <w:vertAlign w:val="superscript"/>
        </w:rPr>
        <w:t>)</w:t>
      </w:r>
      <w:r w:rsidRPr="0042190D" w:rsidR="00BE7555">
        <w:rPr>
          <w:rFonts w:ascii="Times New Roman" w:hAnsi="Times New Roman" w:cs="Times New Roman"/>
          <w:sz w:val="24"/>
          <w:szCs w:val="24"/>
        </w:rPr>
        <w:t xml:space="preserve">, jehož vznik iniciovalo MF na základě Koncepce. </w:t>
      </w:r>
      <w:r w:rsidRPr="0042190D" w:rsidR="00D334F4">
        <w:rPr>
          <w:rFonts w:ascii="Times New Roman" w:hAnsi="Times New Roman" w:cs="Times New Roman"/>
          <w:sz w:val="24"/>
          <w:szCs w:val="24"/>
        </w:rPr>
        <w:t xml:space="preserve">Hodnocení </w:t>
      </w:r>
      <w:r w:rsidRPr="0042190D" w:rsidR="00D334F4">
        <w:rPr>
          <w:rFonts w:ascii="Times New Roman" w:hAnsi="Times New Roman" w:cs="Times New Roman"/>
          <w:sz w:val="24"/>
          <w:szCs w:val="24"/>
        </w:rPr>
        <w:t>ScoreCard</w:t>
      </w:r>
      <w:r w:rsidRPr="0042190D" w:rsidR="00D334F4">
        <w:rPr>
          <w:rFonts w:ascii="Times New Roman" w:hAnsi="Times New Roman" w:cs="Times New Roman"/>
          <w:sz w:val="24"/>
          <w:szCs w:val="24"/>
        </w:rPr>
        <w:t xml:space="preserve"> již bylo provedeno pro společnosti Pražská vodohospodářská společnost a.</w:t>
      </w:r>
      <w:r w:rsidR="00BB5EDB">
        <w:rPr>
          <w:rFonts w:ascii="Times New Roman" w:hAnsi="Times New Roman" w:cs="Times New Roman"/>
          <w:sz w:val="24"/>
          <w:szCs w:val="24"/>
        </w:rPr>
        <w:t xml:space="preserve"> </w:t>
      </w:r>
      <w:r w:rsidRPr="0042190D" w:rsidR="00D334F4">
        <w:rPr>
          <w:rFonts w:ascii="Times New Roman" w:hAnsi="Times New Roman" w:cs="Times New Roman"/>
          <w:sz w:val="24"/>
          <w:szCs w:val="24"/>
        </w:rPr>
        <w:t>s., ČEPRO, a.</w:t>
      </w:r>
      <w:r w:rsidR="00BB5EDB">
        <w:rPr>
          <w:rFonts w:ascii="Times New Roman" w:hAnsi="Times New Roman" w:cs="Times New Roman"/>
          <w:sz w:val="24"/>
          <w:szCs w:val="24"/>
        </w:rPr>
        <w:t xml:space="preserve"> </w:t>
      </w:r>
      <w:r w:rsidRPr="0042190D" w:rsidR="00D334F4">
        <w:rPr>
          <w:rFonts w:ascii="Times New Roman" w:hAnsi="Times New Roman" w:cs="Times New Roman"/>
          <w:sz w:val="24"/>
          <w:szCs w:val="24"/>
        </w:rPr>
        <w:t xml:space="preserve">s. a ČEZ, a. s. Ve vztahu ke zprávě o </w:t>
      </w:r>
      <w:r w:rsidRPr="0042190D" w:rsidR="00D334F4">
        <w:rPr>
          <w:rFonts w:ascii="Times New Roman" w:hAnsi="Times New Roman" w:cs="Times New Roman"/>
          <w:sz w:val="24"/>
          <w:szCs w:val="24"/>
        </w:rPr>
        <w:t>corporate</w:t>
      </w:r>
      <w:r w:rsidRPr="0042190D" w:rsidR="00D334F4">
        <w:rPr>
          <w:rFonts w:ascii="Times New Roman" w:hAnsi="Times New Roman" w:cs="Times New Roman"/>
          <w:sz w:val="24"/>
          <w:szCs w:val="24"/>
        </w:rPr>
        <w:t xml:space="preserve"> </w:t>
      </w:r>
      <w:r w:rsidRPr="0042190D" w:rsidR="00D334F4">
        <w:rPr>
          <w:rFonts w:ascii="Times New Roman" w:hAnsi="Times New Roman" w:cs="Times New Roman"/>
          <w:sz w:val="24"/>
          <w:szCs w:val="24"/>
        </w:rPr>
        <w:t>governance</w:t>
      </w:r>
      <w:r w:rsidRPr="0042190D" w:rsidR="00D334F4">
        <w:rPr>
          <w:rFonts w:ascii="Times New Roman" w:hAnsi="Times New Roman" w:cs="Times New Roman"/>
          <w:sz w:val="24"/>
          <w:szCs w:val="24"/>
        </w:rPr>
        <w:t xml:space="preserve"> kótovaných emitentů dochází k revizi stávající úpravy v § 118 zákona o podnikání na kapitálovém trhu tak, aby lépe odpovídala předloze ve směrnicích EU. </w:t>
      </w:r>
      <w:r w:rsidRPr="0042190D" w:rsidR="00F66408">
        <w:rPr>
          <w:rFonts w:ascii="Times New Roman" w:hAnsi="Times New Roman" w:cs="Times New Roman"/>
          <w:sz w:val="24"/>
          <w:szCs w:val="24"/>
        </w:rPr>
        <w:t xml:space="preserve">Současně je v EU plánována </w:t>
      </w:r>
      <w:r>
        <w:fldChar w:fldCharType="begin"/>
      </w:r>
      <w:r>
        <w:instrText xml:space="preserve"> HYPERLINK "https://ec.europa.eu/info/law/better-regulation/have-your-say/initiatives/12129-Non-financial-reporting-by-large-companies-updated-rules" </w:instrText>
      </w:r>
      <w:r>
        <w:fldChar w:fldCharType="separate"/>
      </w:r>
      <w:r w:rsidRPr="0042190D" w:rsidR="00F66408">
        <w:rPr>
          <w:rStyle w:val="Hyperlink"/>
          <w:rFonts w:ascii="Times New Roman" w:hAnsi="Times New Roman" w:cs="Times New Roman"/>
          <w:sz w:val="24"/>
          <w:szCs w:val="24"/>
        </w:rPr>
        <w:t>revize nefinančního reportingu</w:t>
      </w:r>
      <w:r>
        <w:fldChar w:fldCharType="end"/>
      </w:r>
      <w:r w:rsidR="00385EA2">
        <w:rPr>
          <w:rStyle w:val="Hyperlink"/>
          <w:rFonts w:ascii="Times New Roman" w:hAnsi="Times New Roman" w:cs="Times New Roman"/>
          <w:color w:val="auto"/>
          <w:sz w:val="24"/>
          <w:szCs w:val="24"/>
          <w:u w:val="none"/>
          <w:vertAlign w:val="superscript"/>
        </w:rPr>
        <w:t>72</w:t>
      </w:r>
      <w:r w:rsidRPr="00F261B8" w:rsidR="00385EA2">
        <w:rPr>
          <w:rStyle w:val="Hyperlink"/>
          <w:rFonts w:ascii="Times New Roman" w:hAnsi="Times New Roman" w:cs="Times New Roman"/>
          <w:color w:val="auto"/>
          <w:sz w:val="24"/>
          <w:szCs w:val="24"/>
          <w:u w:val="none"/>
          <w:vertAlign w:val="superscript"/>
        </w:rPr>
        <w:t>)</w:t>
      </w:r>
      <w:r w:rsidRPr="0042190D" w:rsidR="00F66408">
        <w:rPr>
          <w:rFonts w:ascii="Times New Roman" w:hAnsi="Times New Roman" w:cs="Times New Roman"/>
          <w:sz w:val="24"/>
          <w:szCs w:val="24"/>
        </w:rPr>
        <w:t xml:space="preserve"> a revize </w:t>
      </w:r>
      <w:r w:rsidRPr="0042190D" w:rsidR="00CF5955">
        <w:rPr>
          <w:rFonts w:ascii="Times New Roman" w:hAnsi="Times New Roman" w:cs="Times New Roman"/>
          <w:sz w:val="24"/>
          <w:szCs w:val="24"/>
        </w:rPr>
        <w:t xml:space="preserve">správy a řízení společností </w:t>
      </w:r>
      <w:r w:rsidRPr="0042190D" w:rsidR="00F66408">
        <w:rPr>
          <w:rFonts w:ascii="Times New Roman" w:hAnsi="Times New Roman" w:cs="Times New Roman"/>
          <w:sz w:val="24"/>
          <w:szCs w:val="24"/>
        </w:rPr>
        <w:t>ve vztahu k tématu udržitelnosti (</w:t>
      </w:r>
      <w:r w:rsidR="001D6501">
        <w:fldChar w:fldCharType="begin"/>
      </w:r>
      <w:r w:rsidR="001D6501">
        <w:instrText xml:space="preserve"> HYPERLINK "https://ec.europa.eu/info/law/better-regulation/have-your-say/initiatives/12548-Sustainable-corporate-governance" </w:instrText>
      </w:r>
      <w:r w:rsidR="001D6501">
        <w:fldChar w:fldCharType="separate"/>
      </w:r>
      <w:r w:rsidRPr="0042190D" w:rsidR="00F66408">
        <w:rPr>
          <w:rStyle w:val="Hyperlink"/>
          <w:rFonts w:ascii="Times New Roman" w:hAnsi="Times New Roman" w:cs="Times New Roman"/>
          <w:sz w:val="24"/>
          <w:szCs w:val="24"/>
        </w:rPr>
        <w:t>sustainable</w:t>
      </w:r>
      <w:r w:rsidRPr="0042190D" w:rsidR="00F66408">
        <w:rPr>
          <w:rStyle w:val="Hyperlink"/>
          <w:rFonts w:ascii="Times New Roman" w:hAnsi="Times New Roman" w:cs="Times New Roman"/>
          <w:sz w:val="24"/>
          <w:szCs w:val="24"/>
        </w:rPr>
        <w:t xml:space="preserve"> </w:t>
      </w:r>
      <w:r w:rsidRPr="0042190D" w:rsidR="00F66408">
        <w:rPr>
          <w:rStyle w:val="Hyperlink"/>
          <w:rFonts w:ascii="Times New Roman" w:hAnsi="Times New Roman" w:cs="Times New Roman"/>
          <w:sz w:val="24"/>
          <w:szCs w:val="24"/>
        </w:rPr>
        <w:t>corporate</w:t>
      </w:r>
      <w:r w:rsidRPr="0042190D" w:rsidR="00F66408">
        <w:rPr>
          <w:rStyle w:val="Hyperlink"/>
          <w:rFonts w:ascii="Times New Roman" w:hAnsi="Times New Roman" w:cs="Times New Roman"/>
          <w:sz w:val="24"/>
          <w:szCs w:val="24"/>
        </w:rPr>
        <w:t xml:space="preserve"> governance</w:t>
      </w:r>
      <w:r w:rsidR="001D6501">
        <w:rPr>
          <w:rStyle w:val="Hyperlink"/>
          <w:rFonts w:ascii="Times New Roman" w:hAnsi="Times New Roman" w:cs="Times New Roman"/>
          <w:sz w:val="24"/>
          <w:szCs w:val="24"/>
        </w:rPr>
        <w:fldChar w:fldCharType="end"/>
      </w:r>
      <w:r w:rsidR="00385EA2">
        <w:rPr>
          <w:rStyle w:val="Hyperlink"/>
          <w:rFonts w:ascii="Times New Roman" w:hAnsi="Times New Roman" w:cs="Times New Roman"/>
          <w:color w:val="auto"/>
          <w:sz w:val="24"/>
          <w:szCs w:val="24"/>
          <w:u w:val="none"/>
          <w:vertAlign w:val="superscript"/>
        </w:rPr>
        <w:t>73</w:t>
      </w:r>
      <w:r w:rsidRPr="00F261B8" w:rsidR="00385EA2">
        <w:rPr>
          <w:rStyle w:val="Hyperlink"/>
          <w:rFonts w:ascii="Times New Roman" w:hAnsi="Times New Roman" w:cs="Times New Roman"/>
          <w:color w:val="auto"/>
          <w:sz w:val="24"/>
          <w:szCs w:val="24"/>
          <w:u w:val="none"/>
          <w:vertAlign w:val="superscript"/>
        </w:rPr>
        <w:t>)</w:t>
      </w:r>
      <w:r w:rsidRPr="0042190D" w:rsidR="00F66408">
        <w:rPr>
          <w:rFonts w:ascii="Times New Roman" w:hAnsi="Times New Roman" w:cs="Times New Roman"/>
          <w:sz w:val="24"/>
          <w:szCs w:val="24"/>
        </w:rPr>
        <w:t>)</w:t>
      </w:r>
      <w:r w:rsidRPr="0042190D" w:rsidR="0075084C">
        <w:rPr>
          <w:rFonts w:ascii="Times New Roman" w:hAnsi="Times New Roman" w:cs="Times New Roman"/>
          <w:sz w:val="24"/>
          <w:szCs w:val="24"/>
        </w:rPr>
        <w:t>, kdy otázka „</w:t>
      </w:r>
      <w:r w:rsidRPr="0042190D" w:rsidR="0075084C">
        <w:rPr>
          <w:rFonts w:ascii="Times New Roman" w:hAnsi="Times New Roman" w:cs="Times New Roman"/>
          <w:sz w:val="24"/>
          <w:szCs w:val="24"/>
        </w:rPr>
        <w:t>governance</w:t>
      </w:r>
      <w:r w:rsidRPr="0042190D" w:rsidR="0075084C">
        <w:rPr>
          <w:rFonts w:ascii="Times New Roman" w:hAnsi="Times New Roman" w:cs="Times New Roman"/>
          <w:sz w:val="24"/>
          <w:szCs w:val="24"/>
        </w:rPr>
        <w:t>“ je jednou ze tří důležitých komponent tzv. ESG kritérií (</w:t>
      </w:r>
      <w:r w:rsidRPr="0042190D" w:rsidR="0075084C">
        <w:rPr>
          <w:rFonts w:ascii="Times New Roman" w:hAnsi="Times New Roman" w:cs="Times New Roman"/>
          <w:sz w:val="24"/>
          <w:szCs w:val="24"/>
        </w:rPr>
        <w:t>environmental</w:t>
      </w:r>
      <w:r w:rsidRPr="0042190D" w:rsidR="0075084C">
        <w:rPr>
          <w:rFonts w:ascii="Times New Roman" w:hAnsi="Times New Roman" w:cs="Times New Roman"/>
          <w:sz w:val="24"/>
          <w:szCs w:val="24"/>
        </w:rPr>
        <w:t xml:space="preserve">, </w:t>
      </w:r>
      <w:r w:rsidRPr="0042190D" w:rsidR="0075084C">
        <w:rPr>
          <w:rFonts w:ascii="Times New Roman" w:hAnsi="Times New Roman" w:cs="Times New Roman"/>
          <w:sz w:val="24"/>
          <w:szCs w:val="24"/>
        </w:rPr>
        <w:t>social</w:t>
      </w:r>
      <w:r w:rsidRPr="0042190D" w:rsidR="0075084C">
        <w:rPr>
          <w:rFonts w:ascii="Times New Roman" w:hAnsi="Times New Roman" w:cs="Times New Roman"/>
          <w:sz w:val="24"/>
          <w:szCs w:val="24"/>
        </w:rPr>
        <w:t xml:space="preserve">, </w:t>
      </w:r>
      <w:r w:rsidRPr="0042190D" w:rsidR="0075084C">
        <w:rPr>
          <w:rFonts w:ascii="Times New Roman" w:hAnsi="Times New Roman" w:cs="Times New Roman"/>
          <w:sz w:val="24"/>
          <w:szCs w:val="24"/>
        </w:rPr>
        <w:t>governance</w:t>
      </w:r>
      <w:r w:rsidRPr="0042190D" w:rsidR="0075084C">
        <w:rPr>
          <w:rFonts w:ascii="Times New Roman" w:hAnsi="Times New Roman" w:cs="Times New Roman"/>
          <w:sz w:val="24"/>
          <w:szCs w:val="24"/>
        </w:rPr>
        <w:t>)</w:t>
      </w:r>
      <w:r w:rsidRPr="0042190D" w:rsidR="00F66408">
        <w:rPr>
          <w:rFonts w:ascii="Times New Roman" w:hAnsi="Times New Roman" w:cs="Times New Roman"/>
          <w:sz w:val="24"/>
          <w:szCs w:val="24"/>
        </w:rPr>
        <w:t>.</w:t>
      </w:r>
      <w:r w:rsidR="00F66408">
        <w:rPr>
          <w:rFonts w:ascii="Times New Roman" w:hAnsi="Times New Roman" w:cs="Times New Roman"/>
          <w:sz w:val="24"/>
          <w:szCs w:val="24"/>
        </w:rPr>
        <w:t xml:space="preserve"> </w:t>
      </w:r>
      <w:r w:rsidR="0075084C">
        <w:rPr>
          <w:rFonts w:ascii="Times New Roman" w:hAnsi="Times New Roman" w:cs="Times New Roman"/>
          <w:sz w:val="24"/>
          <w:szCs w:val="24"/>
        </w:rPr>
        <w:t xml:space="preserve">Důležitost řádné správy a řízení se rovněž ukázala v nedávné kauze </w:t>
      </w:r>
      <w:r>
        <w:fldChar w:fldCharType="begin"/>
      </w:r>
      <w:r>
        <w:instrText xml:space="preserve"> HYPERLINK "https://zpravy.aktualne.cz/zahranici/prijmy-z-hazardu-a-sit-podivnych-firem-miliardovy-podvod-fun/r~7b315ba8d18211eab115ac1f6b220ee8/" </w:instrText>
      </w:r>
      <w:r>
        <w:fldChar w:fldCharType="separate"/>
      </w:r>
      <w:r w:rsidRPr="0075084C" w:rsidR="0075084C">
        <w:rPr>
          <w:rStyle w:val="Hyperlink"/>
          <w:rFonts w:ascii="Times New Roman" w:hAnsi="Times New Roman" w:cs="Times New Roman"/>
          <w:sz w:val="24"/>
          <w:szCs w:val="24"/>
        </w:rPr>
        <w:t>Wirecard</w:t>
      </w:r>
      <w:r>
        <w:fldChar w:fldCharType="end"/>
      </w:r>
      <w:r w:rsidR="00385EA2">
        <w:rPr>
          <w:rStyle w:val="Hyperlink"/>
          <w:rFonts w:ascii="Times New Roman" w:hAnsi="Times New Roman" w:cs="Times New Roman"/>
          <w:color w:val="auto"/>
          <w:sz w:val="24"/>
          <w:szCs w:val="24"/>
          <w:u w:val="none"/>
          <w:vertAlign w:val="superscript"/>
        </w:rPr>
        <w:t>74</w:t>
      </w:r>
      <w:r w:rsidRPr="00F261B8" w:rsidR="00385EA2">
        <w:rPr>
          <w:rStyle w:val="Hyperlink"/>
          <w:rFonts w:ascii="Times New Roman" w:hAnsi="Times New Roman" w:cs="Times New Roman"/>
          <w:color w:val="auto"/>
          <w:sz w:val="24"/>
          <w:szCs w:val="24"/>
          <w:u w:val="none"/>
          <w:vertAlign w:val="superscript"/>
        </w:rPr>
        <w:t>)</w:t>
      </w:r>
      <w:r w:rsidR="003921A7">
        <w:rPr>
          <w:rFonts w:ascii="Times New Roman" w:hAnsi="Times New Roman" w:cs="Times New Roman"/>
          <w:sz w:val="24"/>
          <w:szCs w:val="24"/>
        </w:rPr>
        <w:t>, obdobně jako předtím v případě společností ENRON</w:t>
      </w:r>
      <w:r w:rsidR="00B139E8">
        <w:rPr>
          <w:rFonts w:ascii="Times New Roman" w:hAnsi="Times New Roman" w:cs="Times New Roman"/>
          <w:sz w:val="24"/>
          <w:szCs w:val="24"/>
        </w:rPr>
        <w:t>,</w:t>
      </w:r>
      <w:r w:rsidR="003921A7">
        <w:rPr>
          <w:rFonts w:ascii="Times New Roman" w:hAnsi="Times New Roman" w:cs="Times New Roman"/>
          <w:sz w:val="24"/>
          <w:szCs w:val="24"/>
        </w:rPr>
        <w:t xml:space="preserve"> </w:t>
      </w:r>
      <w:r w:rsidR="003921A7">
        <w:rPr>
          <w:rFonts w:ascii="Times New Roman" w:hAnsi="Times New Roman" w:cs="Times New Roman"/>
          <w:sz w:val="24"/>
          <w:szCs w:val="24"/>
        </w:rPr>
        <w:t>WorldCom</w:t>
      </w:r>
      <w:r w:rsidR="00B139E8">
        <w:rPr>
          <w:rFonts w:ascii="Times New Roman" w:hAnsi="Times New Roman" w:cs="Times New Roman"/>
          <w:sz w:val="24"/>
          <w:szCs w:val="24"/>
        </w:rPr>
        <w:t xml:space="preserve"> či </w:t>
      </w:r>
      <w:r w:rsidR="00B139E8">
        <w:rPr>
          <w:rFonts w:ascii="Times New Roman" w:hAnsi="Times New Roman" w:cs="Times New Roman"/>
          <w:sz w:val="24"/>
          <w:szCs w:val="24"/>
        </w:rPr>
        <w:t>Parmalat</w:t>
      </w:r>
      <w:r w:rsidR="003921A7">
        <w:rPr>
          <w:rFonts w:ascii="Times New Roman" w:hAnsi="Times New Roman" w:cs="Times New Roman"/>
          <w:sz w:val="24"/>
          <w:szCs w:val="24"/>
        </w:rPr>
        <w:t>.</w:t>
      </w:r>
    </w:p>
    <w:p w:rsidR="003921A7" w:rsidRPr="00AA2EF2" w:rsidP="00867155">
      <w:pPr>
        <w:spacing w:before="120" w:after="120" w:line="240" w:lineRule="auto"/>
        <w:jc w:val="center"/>
        <w:rPr>
          <w:rFonts w:ascii="Times New Roman" w:hAnsi="Times New Roman" w:cs="Times New Roman"/>
          <w:b/>
          <w:i/>
          <w:sz w:val="24"/>
          <w:szCs w:val="24"/>
        </w:rPr>
      </w:pPr>
      <w:r w:rsidRPr="00AA2EF2">
        <w:rPr>
          <w:rFonts w:ascii="Times New Roman" w:hAnsi="Times New Roman" w:cs="Times New Roman"/>
          <w:b/>
          <w:i/>
          <w:sz w:val="24"/>
          <w:szCs w:val="24"/>
        </w:rPr>
        <w:t>14) Podpora rozvoje peněžního trhu</w:t>
      </w:r>
    </w:p>
    <w:tbl>
      <w:tblPr>
        <w:tblStyle w:val="Mkatabulky3"/>
        <w:tblW w:w="0" w:type="auto"/>
        <w:shd w:val="solid" w:color="auto" w:fill="auto"/>
        <w:tblLayout w:type="fixed"/>
        <w:tblLook w:val="04A0"/>
      </w:tblPr>
      <w:tblGrid>
        <w:gridCol w:w="5353"/>
        <w:gridCol w:w="2693"/>
        <w:gridCol w:w="1134"/>
      </w:tblGrid>
      <w:tr w:rsidTr="00820E67">
        <w:tblPrEx>
          <w:tblW w:w="0" w:type="auto"/>
          <w:shd w:val="solid" w:color="auto" w:fill="auto"/>
          <w:tblLayout w:type="fixed"/>
          <w:tblLook w:val="04A0"/>
        </w:tblPrEx>
        <w:tc>
          <w:tcPr>
            <w:tcW w:w="5353" w:type="dxa"/>
            <w:shd w:val="clear" w:color="auto" w:fill="002060"/>
          </w:tcPr>
          <w:p w:rsidR="00AA2EF2" w:rsidRPr="00AA2EF2" w:rsidP="00820E67">
            <w:pPr>
              <w:jc w:val="center"/>
              <w:rPr>
                <w:rFonts w:ascii="Times New Roman" w:hAnsi="Times New Roman" w:cs="Times New Roman"/>
              </w:rPr>
            </w:pPr>
            <w:r w:rsidRPr="00AA2EF2">
              <w:rPr>
                <w:rFonts w:ascii="Times New Roman" w:hAnsi="Times New Roman" w:cs="Times New Roman"/>
              </w:rPr>
              <w:t>PLÁN</w:t>
            </w:r>
          </w:p>
        </w:tc>
        <w:tc>
          <w:tcPr>
            <w:tcW w:w="2693" w:type="dxa"/>
            <w:shd w:val="clear" w:color="auto" w:fill="002060"/>
          </w:tcPr>
          <w:p w:rsidR="00AA2EF2" w:rsidRPr="00AA2EF2" w:rsidP="00820E67">
            <w:pPr>
              <w:jc w:val="center"/>
              <w:rPr>
                <w:rFonts w:ascii="Times New Roman" w:hAnsi="Times New Roman" w:cs="Times New Roman"/>
              </w:rPr>
            </w:pPr>
            <w:r w:rsidRPr="00AA2EF2">
              <w:rPr>
                <w:rFonts w:ascii="Times New Roman" w:hAnsi="Times New Roman" w:cs="Times New Roman"/>
              </w:rPr>
              <w:t>DOTČENÉ SUBJEKTY</w:t>
            </w:r>
          </w:p>
        </w:tc>
        <w:tc>
          <w:tcPr>
            <w:tcW w:w="1134" w:type="dxa"/>
            <w:shd w:val="clear" w:color="auto" w:fill="002060"/>
          </w:tcPr>
          <w:p w:rsidR="00AA2EF2" w:rsidRPr="00AA2EF2" w:rsidP="00820E67">
            <w:pPr>
              <w:jc w:val="center"/>
              <w:rPr>
                <w:rFonts w:ascii="Times New Roman" w:hAnsi="Times New Roman" w:cs="Times New Roman"/>
              </w:rPr>
            </w:pPr>
            <w:r w:rsidRPr="00AA2EF2">
              <w:rPr>
                <w:rFonts w:ascii="Times New Roman" w:hAnsi="Times New Roman" w:cs="Times New Roman"/>
              </w:rPr>
              <w:t>TERMÍN</w:t>
            </w:r>
          </w:p>
        </w:tc>
      </w:tr>
      <w:tr w:rsidTr="00820E67">
        <w:tblPrEx>
          <w:tblW w:w="0" w:type="auto"/>
          <w:shd w:val="solid" w:color="auto" w:fill="auto"/>
          <w:tblLayout w:type="fixed"/>
          <w:tblLook w:val="04A0"/>
        </w:tblPrEx>
        <w:tc>
          <w:tcPr>
            <w:tcW w:w="5353" w:type="dxa"/>
            <w:shd w:val="clear" w:color="auto" w:fill="auto"/>
          </w:tcPr>
          <w:p w:rsidR="00AA2EF2" w:rsidRPr="00867155" w:rsidP="00820E67">
            <w:pPr>
              <w:rPr>
                <w:rFonts w:ascii="Times New Roman" w:hAnsi="Times New Roman" w:cs="Times New Roman"/>
                <w:sz w:val="20"/>
                <w:szCs w:val="20"/>
              </w:rPr>
            </w:pPr>
            <w:r w:rsidRPr="00867155">
              <w:rPr>
                <w:rFonts w:ascii="Times New Roman" w:hAnsi="Times New Roman" w:cs="Times New Roman"/>
                <w:sz w:val="20"/>
                <w:szCs w:val="20"/>
              </w:rPr>
              <w:t>Analyzovat možnosti rozvoje peněžního trhu v ČR a případně navrhnout další opatření</w:t>
            </w:r>
          </w:p>
        </w:tc>
        <w:tc>
          <w:tcPr>
            <w:tcW w:w="2693" w:type="dxa"/>
            <w:shd w:val="clear" w:color="auto" w:fill="auto"/>
          </w:tcPr>
          <w:p w:rsidR="00AA2EF2"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MF, ČNB</w:t>
            </w:r>
          </w:p>
        </w:tc>
        <w:tc>
          <w:tcPr>
            <w:tcW w:w="1134" w:type="dxa"/>
            <w:shd w:val="clear" w:color="auto" w:fill="auto"/>
          </w:tcPr>
          <w:p w:rsidR="00AA2EF2" w:rsidRPr="00867155" w:rsidP="00820E67">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AA2EF2"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oblasti faktoringu došlo k mezi roky 2017 a 2019 k nárůstu objemu faktoringových obchodů </w:t>
      </w:r>
      <w:r>
        <w:rPr>
          <w:rFonts w:ascii="Times New Roman" w:hAnsi="Times New Roman" w:cs="Times New Roman"/>
          <w:sz w:val="24"/>
          <w:szCs w:val="24"/>
        </w:rPr>
        <w:t>ze</w:t>
      </w:r>
      <w:r>
        <w:rPr>
          <w:rFonts w:ascii="Times New Roman" w:hAnsi="Times New Roman" w:cs="Times New Roman"/>
          <w:sz w:val="24"/>
          <w:szCs w:val="24"/>
        </w:rPr>
        <w:t xml:space="preserve"> 156,3 mld. Kč na </w:t>
      </w:r>
      <w:r>
        <w:fldChar w:fldCharType="begin"/>
      </w:r>
      <w:r>
        <w:instrText xml:space="preserve"> HYPERLINK "https://www.clfa.cz/statistiky/informace-o-trhu/statistiky-clfa-2007-2017" </w:instrText>
      </w:r>
      <w:r>
        <w:fldChar w:fldCharType="separate"/>
      </w:r>
      <w:r w:rsidRPr="00820E67">
        <w:rPr>
          <w:rStyle w:val="Hyperlink"/>
          <w:rFonts w:ascii="Times New Roman" w:hAnsi="Times New Roman" w:cs="Times New Roman"/>
          <w:sz w:val="24"/>
          <w:szCs w:val="24"/>
        </w:rPr>
        <w:t>184 mld. Kč</w:t>
      </w:r>
      <w:r>
        <w:fldChar w:fldCharType="end"/>
      </w:r>
      <w:r w:rsidR="00385EA2">
        <w:rPr>
          <w:rStyle w:val="Hyperlink"/>
          <w:rFonts w:ascii="Times New Roman" w:hAnsi="Times New Roman" w:cs="Times New Roman"/>
          <w:color w:val="auto"/>
          <w:sz w:val="24"/>
          <w:szCs w:val="24"/>
          <w:u w:val="none"/>
          <w:vertAlign w:val="superscript"/>
        </w:rPr>
        <w:t>75</w:t>
      </w:r>
      <w:r w:rsidRPr="00F261B8" w:rsidR="00385EA2">
        <w:rPr>
          <w:rStyle w:val="Hyperlink"/>
          <w:rFonts w:ascii="Times New Roman" w:hAnsi="Times New Roman" w:cs="Times New Roman"/>
          <w:color w:val="auto"/>
          <w:sz w:val="24"/>
          <w:szCs w:val="24"/>
          <w:u w:val="none"/>
          <w:vertAlign w:val="superscript"/>
        </w:rPr>
        <w:t>)</w:t>
      </w:r>
      <w:r w:rsidR="00820E67">
        <w:rPr>
          <w:rFonts w:ascii="Times New Roman" w:hAnsi="Times New Roman" w:cs="Times New Roman"/>
          <w:sz w:val="24"/>
          <w:szCs w:val="24"/>
        </w:rPr>
        <w:t xml:space="preserve"> (v objemu poskytnutých prostředků se jednalo o</w:t>
      </w:r>
      <w:r w:rsidR="00330211">
        <w:rPr>
          <w:rFonts w:ascii="Times New Roman" w:hAnsi="Times New Roman" w:cs="Times New Roman"/>
          <w:sz w:val="24"/>
          <w:szCs w:val="24"/>
        </w:rPr>
        <w:t> </w:t>
      </w:r>
      <w:r w:rsidR="00820E67">
        <w:rPr>
          <w:rFonts w:ascii="Times New Roman" w:hAnsi="Times New Roman" w:cs="Times New Roman"/>
          <w:sz w:val="24"/>
          <w:szCs w:val="24"/>
        </w:rPr>
        <w:t xml:space="preserve">nárůst z 22,8 mld. Kč na 26,1 mld. Kč). V Systému krátkodobých dluhopisů </w:t>
      </w:r>
      <w:r w:rsidR="00501DEF">
        <w:rPr>
          <w:rFonts w:ascii="Times New Roman" w:hAnsi="Times New Roman" w:cs="Times New Roman"/>
          <w:sz w:val="24"/>
          <w:szCs w:val="24"/>
        </w:rPr>
        <w:t>(</w:t>
      </w:r>
      <w:r>
        <w:fldChar w:fldCharType="begin"/>
      </w:r>
      <w:r>
        <w:instrText xml:space="preserve"> HYPERLINK "https://www.cnb.cz/cs/financni-trhy/skd/" </w:instrText>
      </w:r>
      <w:r>
        <w:fldChar w:fldCharType="separate"/>
      </w:r>
      <w:r w:rsidRPr="00323499" w:rsidR="00501DEF">
        <w:rPr>
          <w:rStyle w:val="Hyperlink"/>
          <w:rFonts w:ascii="Times New Roman" w:hAnsi="Times New Roman" w:cs="Times New Roman"/>
          <w:sz w:val="24"/>
          <w:szCs w:val="24"/>
        </w:rPr>
        <w:t>SKD</w:t>
      </w:r>
      <w:r>
        <w:fldChar w:fldCharType="end"/>
      </w:r>
      <w:r w:rsidR="00385EA2">
        <w:rPr>
          <w:rStyle w:val="Hyperlink"/>
          <w:rFonts w:ascii="Times New Roman" w:hAnsi="Times New Roman" w:cs="Times New Roman"/>
          <w:color w:val="auto"/>
          <w:sz w:val="24"/>
          <w:szCs w:val="24"/>
          <w:u w:val="none"/>
          <w:vertAlign w:val="superscript"/>
        </w:rPr>
        <w:t>76</w:t>
      </w:r>
      <w:r w:rsidRPr="00F261B8" w:rsidR="00385EA2">
        <w:rPr>
          <w:rStyle w:val="Hyperlink"/>
          <w:rFonts w:ascii="Times New Roman" w:hAnsi="Times New Roman" w:cs="Times New Roman"/>
          <w:color w:val="auto"/>
          <w:sz w:val="24"/>
          <w:szCs w:val="24"/>
          <w:u w:val="none"/>
          <w:vertAlign w:val="superscript"/>
        </w:rPr>
        <w:t>)</w:t>
      </w:r>
      <w:r w:rsidR="00501DEF">
        <w:rPr>
          <w:rFonts w:ascii="Times New Roman" w:hAnsi="Times New Roman" w:cs="Times New Roman"/>
          <w:sz w:val="24"/>
          <w:szCs w:val="24"/>
        </w:rPr>
        <w:t>)</w:t>
      </w:r>
      <w:r w:rsidR="00330211">
        <w:rPr>
          <w:rFonts w:ascii="Times New Roman" w:hAnsi="Times New Roman" w:cs="Times New Roman"/>
          <w:sz w:val="24"/>
          <w:szCs w:val="24"/>
        </w:rPr>
        <w:t>,</w:t>
      </w:r>
      <w:r w:rsidR="00501DEF">
        <w:rPr>
          <w:rFonts w:ascii="Times New Roman" w:hAnsi="Times New Roman" w:cs="Times New Roman"/>
          <w:sz w:val="24"/>
          <w:szCs w:val="24"/>
        </w:rPr>
        <w:t xml:space="preserve"> </w:t>
      </w:r>
      <w:r w:rsidR="00820E67">
        <w:rPr>
          <w:rFonts w:ascii="Times New Roman" w:hAnsi="Times New Roman" w:cs="Times New Roman"/>
          <w:sz w:val="24"/>
          <w:szCs w:val="24"/>
        </w:rPr>
        <w:t>provozovaném ČNB</w:t>
      </w:r>
      <w:r w:rsidR="00330211">
        <w:rPr>
          <w:rFonts w:ascii="Times New Roman" w:hAnsi="Times New Roman" w:cs="Times New Roman"/>
          <w:sz w:val="24"/>
          <w:szCs w:val="24"/>
        </w:rPr>
        <w:t>,</w:t>
      </w:r>
      <w:r w:rsidR="00501DEF">
        <w:rPr>
          <w:rFonts w:ascii="Times New Roman" w:hAnsi="Times New Roman" w:cs="Times New Roman"/>
          <w:sz w:val="24"/>
          <w:szCs w:val="24"/>
        </w:rPr>
        <w:t xml:space="preserve"> se obchodují pouze státní pokladniční poukázky a poukázky ČNB, v</w:t>
      </w:r>
      <w:r w:rsidR="00330211">
        <w:rPr>
          <w:rFonts w:ascii="Times New Roman" w:hAnsi="Times New Roman" w:cs="Times New Roman"/>
          <w:sz w:val="24"/>
          <w:szCs w:val="24"/>
        </w:rPr>
        <w:t> </w:t>
      </w:r>
      <w:r w:rsidR="00501DEF">
        <w:rPr>
          <w:rFonts w:ascii="Times New Roman" w:hAnsi="Times New Roman" w:cs="Times New Roman"/>
          <w:sz w:val="24"/>
          <w:szCs w:val="24"/>
        </w:rPr>
        <w:t xml:space="preserve">současné době v něm nejsou obchodovány krátkodobé dluhopisy korporátních emitentů. </w:t>
      </w:r>
      <w:r w:rsidR="0096377F">
        <w:rPr>
          <w:rFonts w:ascii="Times New Roman" w:hAnsi="Times New Roman" w:cs="Times New Roman"/>
          <w:sz w:val="24"/>
          <w:szCs w:val="24"/>
        </w:rPr>
        <w:t>V</w:t>
      </w:r>
      <w:r w:rsidR="00330211">
        <w:rPr>
          <w:rFonts w:ascii="Times New Roman" w:hAnsi="Times New Roman" w:cs="Times New Roman"/>
          <w:sz w:val="24"/>
          <w:szCs w:val="24"/>
        </w:rPr>
        <w:t> </w:t>
      </w:r>
      <w:r w:rsidR="0096377F">
        <w:rPr>
          <w:rFonts w:ascii="Times New Roman" w:hAnsi="Times New Roman" w:cs="Times New Roman"/>
          <w:sz w:val="24"/>
          <w:szCs w:val="24"/>
        </w:rPr>
        <w:t>roce 2017 došlo v SKD k </w:t>
      </w:r>
      <w:r w:rsidR="00501DEF">
        <w:rPr>
          <w:rFonts w:ascii="Times New Roman" w:hAnsi="Times New Roman" w:cs="Times New Roman"/>
          <w:sz w:val="24"/>
          <w:szCs w:val="24"/>
        </w:rPr>
        <w:t xml:space="preserve">uzavření </w:t>
      </w:r>
      <w:r w:rsidRPr="00501DEF" w:rsidR="00501DEF">
        <w:rPr>
          <w:rFonts w:ascii="Times New Roman" w:hAnsi="Times New Roman" w:cs="Times New Roman"/>
          <w:sz w:val="24"/>
          <w:szCs w:val="24"/>
        </w:rPr>
        <w:t>18</w:t>
      </w:r>
      <w:r w:rsidR="00501DEF">
        <w:rPr>
          <w:rFonts w:ascii="Times New Roman" w:hAnsi="Times New Roman" w:cs="Times New Roman"/>
          <w:sz w:val="24"/>
          <w:szCs w:val="24"/>
        </w:rPr>
        <w:t> </w:t>
      </w:r>
      <w:r w:rsidRPr="00501DEF" w:rsidR="00501DEF">
        <w:rPr>
          <w:rFonts w:ascii="Times New Roman" w:hAnsi="Times New Roman" w:cs="Times New Roman"/>
          <w:sz w:val="24"/>
          <w:szCs w:val="24"/>
        </w:rPr>
        <w:t>918</w:t>
      </w:r>
      <w:r w:rsidR="00501DEF">
        <w:rPr>
          <w:rFonts w:ascii="Times New Roman" w:hAnsi="Times New Roman" w:cs="Times New Roman"/>
          <w:sz w:val="24"/>
          <w:szCs w:val="24"/>
        </w:rPr>
        <w:t xml:space="preserve"> transakcí v celkovém objemu 125 617 ml</w:t>
      </w:r>
      <w:r w:rsidR="0096377F">
        <w:rPr>
          <w:rFonts w:ascii="Times New Roman" w:hAnsi="Times New Roman" w:cs="Times New Roman"/>
          <w:sz w:val="24"/>
          <w:szCs w:val="24"/>
        </w:rPr>
        <w:t>d. Kč, v</w:t>
      </w:r>
      <w:r w:rsidR="00330211">
        <w:rPr>
          <w:rFonts w:ascii="Times New Roman" w:hAnsi="Times New Roman" w:cs="Times New Roman"/>
          <w:sz w:val="24"/>
          <w:szCs w:val="24"/>
        </w:rPr>
        <w:t> </w:t>
      </w:r>
      <w:r w:rsidR="0096377F">
        <w:rPr>
          <w:rFonts w:ascii="Times New Roman" w:hAnsi="Times New Roman" w:cs="Times New Roman"/>
          <w:sz w:val="24"/>
          <w:szCs w:val="24"/>
        </w:rPr>
        <w:t>roce 2018 se jednalo o </w:t>
      </w:r>
      <w:r w:rsidRPr="00501DEF" w:rsidR="00501DEF">
        <w:rPr>
          <w:rFonts w:ascii="Times New Roman" w:hAnsi="Times New Roman" w:cs="Times New Roman"/>
          <w:sz w:val="24"/>
          <w:szCs w:val="24"/>
        </w:rPr>
        <w:t>28</w:t>
      </w:r>
      <w:r w:rsidR="00501DEF">
        <w:rPr>
          <w:rFonts w:ascii="Times New Roman" w:hAnsi="Times New Roman" w:cs="Times New Roman"/>
          <w:sz w:val="24"/>
          <w:szCs w:val="24"/>
        </w:rPr>
        <w:t> </w:t>
      </w:r>
      <w:r w:rsidRPr="00501DEF" w:rsidR="00501DEF">
        <w:rPr>
          <w:rFonts w:ascii="Times New Roman" w:hAnsi="Times New Roman" w:cs="Times New Roman"/>
          <w:sz w:val="24"/>
          <w:szCs w:val="24"/>
        </w:rPr>
        <w:t>736</w:t>
      </w:r>
      <w:r w:rsidR="00501DEF">
        <w:rPr>
          <w:rFonts w:ascii="Times New Roman" w:hAnsi="Times New Roman" w:cs="Times New Roman"/>
          <w:sz w:val="24"/>
          <w:szCs w:val="24"/>
        </w:rPr>
        <w:t xml:space="preserve"> transakcí v objemu 177 441 mld. Kč a v roce 2019 šlo o</w:t>
      </w:r>
      <w:r w:rsidR="00330211">
        <w:rPr>
          <w:rFonts w:ascii="Times New Roman" w:hAnsi="Times New Roman" w:cs="Times New Roman"/>
          <w:sz w:val="24"/>
          <w:szCs w:val="24"/>
        </w:rPr>
        <w:t> </w:t>
      </w:r>
      <w:r w:rsidRPr="00501DEF" w:rsidR="00501DEF">
        <w:rPr>
          <w:rFonts w:ascii="Times New Roman" w:hAnsi="Times New Roman" w:cs="Times New Roman"/>
          <w:sz w:val="24"/>
          <w:szCs w:val="24"/>
        </w:rPr>
        <w:t>28</w:t>
      </w:r>
      <w:r w:rsidR="00501DEF">
        <w:rPr>
          <w:rFonts w:ascii="Times New Roman" w:hAnsi="Times New Roman" w:cs="Times New Roman"/>
          <w:sz w:val="24"/>
          <w:szCs w:val="24"/>
        </w:rPr>
        <w:t> </w:t>
      </w:r>
      <w:r w:rsidRPr="00501DEF" w:rsidR="00501DEF">
        <w:rPr>
          <w:rFonts w:ascii="Times New Roman" w:hAnsi="Times New Roman" w:cs="Times New Roman"/>
          <w:sz w:val="24"/>
          <w:szCs w:val="24"/>
        </w:rPr>
        <w:t>463</w:t>
      </w:r>
      <w:r w:rsidR="00501DEF">
        <w:rPr>
          <w:rFonts w:ascii="Times New Roman" w:hAnsi="Times New Roman" w:cs="Times New Roman"/>
          <w:sz w:val="24"/>
          <w:szCs w:val="24"/>
        </w:rPr>
        <w:t xml:space="preserve"> transakcí v objemu 183 971 mld. Kč. </w:t>
      </w:r>
      <w:r w:rsidR="0096377F">
        <w:rPr>
          <w:rFonts w:ascii="Times New Roman" w:hAnsi="Times New Roman" w:cs="Times New Roman"/>
          <w:sz w:val="24"/>
          <w:szCs w:val="24"/>
        </w:rPr>
        <w:t>Ve vztahu k objemu vydaných krátkodob</w:t>
      </w:r>
      <w:r w:rsidR="00076D92">
        <w:rPr>
          <w:rFonts w:ascii="Times New Roman" w:hAnsi="Times New Roman" w:cs="Times New Roman"/>
          <w:sz w:val="24"/>
          <w:szCs w:val="24"/>
        </w:rPr>
        <w:t>ých dluhopisů šlo v roce 2017 o </w:t>
      </w:r>
      <w:r w:rsidR="0096377F">
        <w:rPr>
          <w:rFonts w:ascii="Times New Roman" w:hAnsi="Times New Roman" w:cs="Times New Roman"/>
          <w:sz w:val="24"/>
          <w:szCs w:val="24"/>
        </w:rPr>
        <w:t xml:space="preserve">9 000 mld. Kč vydaných ČNB a o </w:t>
      </w:r>
      <w:r w:rsidRPr="0096377F" w:rsidR="0096377F">
        <w:rPr>
          <w:rFonts w:ascii="Times New Roman" w:hAnsi="Times New Roman" w:cs="Times New Roman"/>
          <w:sz w:val="24"/>
          <w:szCs w:val="24"/>
        </w:rPr>
        <w:t>4</w:t>
      </w:r>
      <w:r w:rsidR="0096377F">
        <w:rPr>
          <w:rFonts w:ascii="Times New Roman" w:hAnsi="Times New Roman" w:cs="Times New Roman"/>
          <w:sz w:val="24"/>
          <w:szCs w:val="24"/>
        </w:rPr>
        <w:t>10 mld. Kč vydaných MF, v</w:t>
      </w:r>
      <w:r w:rsidR="00330211">
        <w:rPr>
          <w:rFonts w:ascii="Times New Roman" w:hAnsi="Times New Roman" w:cs="Times New Roman"/>
          <w:sz w:val="24"/>
          <w:szCs w:val="24"/>
        </w:rPr>
        <w:t> </w:t>
      </w:r>
      <w:r w:rsidR="0096377F">
        <w:rPr>
          <w:rFonts w:ascii="Times New Roman" w:hAnsi="Times New Roman" w:cs="Times New Roman"/>
          <w:sz w:val="24"/>
          <w:szCs w:val="24"/>
        </w:rPr>
        <w:t xml:space="preserve">roce 2018 pak o </w:t>
      </w:r>
      <w:r w:rsidRPr="0096377F" w:rsidR="0096377F">
        <w:rPr>
          <w:rFonts w:ascii="Times New Roman" w:hAnsi="Times New Roman" w:cs="Times New Roman"/>
          <w:sz w:val="24"/>
          <w:szCs w:val="24"/>
        </w:rPr>
        <w:t>4</w:t>
      </w:r>
      <w:r w:rsidR="0096377F">
        <w:rPr>
          <w:rFonts w:ascii="Times New Roman" w:hAnsi="Times New Roman" w:cs="Times New Roman"/>
          <w:sz w:val="24"/>
          <w:szCs w:val="24"/>
        </w:rPr>
        <w:t xml:space="preserve"> 000 mld. Kč vydaných ČNB a 184 mld. Kč vydaných MF a v roce 2019 se jednalo o </w:t>
      </w:r>
      <w:r w:rsidRPr="0096377F" w:rsidR="0096377F">
        <w:rPr>
          <w:rFonts w:ascii="Times New Roman" w:hAnsi="Times New Roman" w:cs="Times New Roman"/>
          <w:sz w:val="24"/>
          <w:szCs w:val="24"/>
        </w:rPr>
        <w:t>4</w:t>
      </w:r>
      <w:r w:rsidR="0096377F">
        <w:rPr>
          <w:rFonts w:ascii="Times New Roman" w:hAnsi="Times New Roman" w:cs="Times New Roman"/>
          <w:sz w:val="24"/>
          <w:szCs w:val="24"/>
        </w:rPr>
        <w:t xml:space="preserve"> 000 mld. Kč vydaných ČNB a cca o 7 mld. Kč vydaných MF. V roce 2020 se prozatím jedná o </w:t>
      </w:r>
      <w:r w:rsidRPr="0096377F" w:rsidR="0096377F">
        <w:rPr>
          <w:rFonts w:ascii="Times New Roman" w:hAnsi="Times New Roman" w:cs="Times New Roman"/>
          <w:sz w:val="24"/>
          <w:szCs w:val="24"/>
        </w:rPr>
        <w:t>4</w:t>
      </w:r>
      <w:r w:rsidR="0096377F">
        <w:rPr>
          <w:rFonts w:ascii="Times New Roman" w:hAnsi="Times New Roman" w:cs="Times New Roman"/>
          <w:sz w:val="24"/>
          <w:szCs w:val="24"/>
        </w:rPr>
        <w:t> 000 mld. Kč vydaných ČNB a 237 mld. Kč vydaných MF.</w:t>
      </w:r>
      <w:r w:rsidR="0062431F">
        <w:rPr>
          <w:rFonts w:ascii="Times New Roman" w:hAnsi="Times New Roman" w:cs="Times New Roman"/>
          <w:sz w:val="24"/>
          <w:szCs w:val="24"/>
        </w:rPr>
        <w:t xml:space="preserve"> Oproti roku 2019, kdy došlo k </w:t>
      </w:r>
      <w:r>
        <w:fldChar w:fldCharType="begin"/>
      </w:r>
      <w:r>
        <w:instrText xml:space="preserve"> HYPERLINK "https://www.mfcr.cz/cs/verejny-sektor/rizeni-statniho-dluhu/emise-statnich-dluhopisu/vysledky-aukci-spp" </w:instrText>
      </w:r>
      <w:r>
        <w:fldChar w:fldCharType="separate"/>
      </w:r>
      <w:r w:rsidRPr="00323499" w:rsidR="0062431F">
        <w:rPr>
          <w:rStyle w:val="Hyperlink"/>
          <w:rFonts w:ascii="Times New Roman" w:hAnsi="Times New Roman" w:cs="Times New Roman"/>
          <w:sz w:val="24"/>
          <w:szCs w:val="24"/>
        </w:rPr>
        <w:t>aukcím státních pokladničních poukázek</w:t>
      </w:r>
      <w:r>
        <w:fldChar w:fldCharType="end"/>
      </w:r>
      <w:r w:rsidR="00385EA2">
        <w:rPr>
          <w:rStyle w:val="Hyperlink"/>
          <w:rFonts w:ascii="Times New Roman" w:hAnsi="Times New Roman" w:cs="Times New Roman"/>
          <w:color w:val="auto"/>
          <w:sz w:val="24"/>
          <w:szCs w:val="24"/>
          <w:u w:val="none"/>
          <w:vertAlign w:val="superscript"/>
        </w:rPr>
        <w:t>77</w:t>
      </w:r>
      <w:r w:rsidRPr="00F261B8" w:rsidR="00385EA2">
        <w:rPr>
          <w:rStyle w:val="Hyperlink"/>
          <w:rFonts w:ascii="Times New Roman" w:hAnsi="Times New Roman" w:cs="Times New Roman"/>
          <w:color w:val="auto"/>
          <w:sz w:val="24"/>
          <w:szCs w:val="24"/>
          <w:u w:val="none"/>
          <w:vertAlign w:val="superscript"/>
        </w:rPr>
        <w:t>)</w:t>
      </w:r>
      <w:r w:rsidR="0062431F">
        <w:rPr>
          <w:rFonts w:ascii="Times New Roman" w:hAnsi="Times New Roman" w:cs="Times New Roman"/>
          <w:sz w:val="24"/>
          <w:szCs w:val="24"/>
        </w:rPr>
        <w:t xml:space="preserve"> jen v lednu, říjnu a prosinci (celkem 7 aukcí), je v roce 2020 zřetelný nárůst emisní aktivity, kdy proběhlo již 13 aukcí, a</w:t>
      </w:r>
      <w:r w:rsidR="00330211">
        <w:rPr>
          <w:rFonts w:ascii="Times New Roman" w:hAnsi="Times New Roman" w:cs="Times New Roman"/>
          <w:sz w:val="24"/>
          <w:szCs w:val="24"/>
        </w:rPr>
        <w:t> </w:t>
      </w:r>
      <w:r w:rsidR="0062431F">
        <w:rPr>
          <w:rFonts w:ascii="Times New Roman" w:hAnsi="Times New Roman" w:cs="Times New Roman"/>
          <w:sz w:val="24"/>
          <w:szCs w:val="24"/>
        </w:rPr>
        <w:t xml:space="preserve">to s výjimkou února </w:t>
      </w:r>
      <w:r w:rsidR="00323499">
        <w:rPr>
          <w:rFonts w:ascii="Times New Roman" w:hAnsi="Times New Roman" w:cs="Times New Roman"/>
          <w:sz w:val="24"/>
          <w:szCs w:val="24"/>
        </w:rPr>
        <w:t xml:space="preserve">a listopadu </w:t>
      </w:r>
      <w:r w:rsidR="00131657">
        <w:rPr>
          <w:rFonts w:ascii="Times New Roman" w:hAnsi="Times New Roman" w:cs="Times New Roman"/>
          <w:sz w:val="24"/>
          <w:szCs w:val="24"/>
        </w:rPr>
        <w:t>v </w:t>
      </w:r>
      <w:r w:rsidR="0062431F">
        <w:rPr>
          <w:rFonts w:ascii="Times New Roman" w:hAnsi="Times New Roman" w:cs="Times New Roman"/>
          <w:sz w:val="24"/>
          <w:szCs w:val="24"/>
        </w:rPr>
        <w:t>každém měsíci minimálně jedna.</w:t>
      </w:r>
      <w:r w:rsidR="00076D92">
        <w:rPr>
          <w:rFonts w:ascii="Times New Roman" w:hAnsi="Times New Roman" w:cs="Times New Roman"/>
          <w:sz w:val="24"/>
          <w:szCs w:val="24"/>
        </w:rPr>
        <w:t xml:space="preserve"> Překážkám rozvoje peněžního trhu a </w:t>
      </w:r>
      <w:r w:rsidR="00076D92">
        <w:rPr>
          <w:rFonts w:ascii="Times New Roman" w:hAnsi="Times New Roman" w:cs="Times New Roman"/>
          <w:sz w:val="24"/>
          <w:szCs w:val="24"/>
        </w:rPr>
        <w:t>sekuritizace</w:t>
      </w:r>
      <w:r w:rsidR="00076D92">
        <w:rPr>
          <w:rFonts w:ascii="Times New Roman" w:hAnsi="Times New Roman" w:cs="Times New Roman"/>
          <w:sz w:val="24"/>
          <w:szCs w:val="24"/>
        </w:rPr>
        <w:t xml:space="preserve"> </w:t>
      </w:r>
      <w:r w:rsidR="00323499">
        <w:rPr>
          <w:rFonts w:ascii="Times New Roman" w:hAnsi="Times New Roman" w:cs="Times New Roman"/>
          <w:sz w:val="24"/>
          <w:szCs w:val="24"/>
        </w:rPr>
        <w:t xml:space="preserve">v ČR </w:t>
      </w:r>
      <w:r w:rsidR="00076D92">
        <w:rPr>
          <w:rFonts w:ascii="Times New Roman" w:hAnsi="Times New Roman" w:cs="Times New Roman"/>
          <w:sz w:val="24"/>
          <w:szCs w:val="24"/>
        </w:rPr>
        <w:t>se věnoval</w:t>
      </w:r>
      <w:r w:rsidR="00323499">
        <w:rPr>
          <w:rFonts w:ascii="Times New Roman" w:hAnsi="Times New Roman" w:cs="Times New Roman"/>
          <w:sz w:val="24"/>
          <w:szCs w:val="24"/>
        </w:rPr>
        <w:t>a také veřejná konzultace ze srpna 2019 (</w:t>
      </w:r>
      <w:r>
        <w:fldChar w:fldCharType="begin"/>
      </w:r>
      <w:r>
        <w:instrText xml:space="preserve"> HYPERLINK "https://www.mfcr.cz/cs/soukromy-sektor/kapitalovy-trh/podnikani-na-kapitalovem-trhu/2019/verejna-konzultace-planovana-legislativn-35843" </w:instrText>
      </w:r>
      <w:r>
        <w:fldChar w:fldCharType="separate"/>
      </w:r>
      <w:r w:rsidRPr="00323499" w:rsidR="00323499">
        <w:rPr>
          <w:rStyle w:val="Hyperlink"/>
          <w:rFonts w:ascii="Times New Roman" w:hAnsi="Times New Roman" w:cs="Times New Roman"/>
          <w:sz w:val="24"/>
          <w:szCs w:val="24"/>
        </w:rPr>
        <w:t>viz str. 26</w:t>
      </w:r>
      <w:r>
        <w:fldChar w:fldCharType="end"/>
      </w:r>
      <w:r w:rsidR="00385EA2">
        <w:rPr>
          <w:rStyle w:val="Hyperlink"/>
          <w:rFonts w:ascii="Times New Roman" w:hAnsi="Times New Roman" w:cs="Times New Roman"/>
          <w:color w:val="auto"/>
          <w:sz w:val="24"/>
          <w:szCs w:val="24"/>
          <w:u w:val="none"/>
          <w:vertAlign w:val="superscript"/>
        </w:rPr>
        <w:t>78</w:t>
      </w:r>
      <w:r w:rsidRPr="00F261B8" w:rsidR="00385EA2">
        <w:rPr>
          <w:rStyle w:val="Hyperlink"/>
          <w:rFonts w:ascii="Times New Roman" w:hAnsi="Times New Roman" w:cs="Times New Roman"/>
          <w:color w:val="auto"/>
          <w:sz w:val="24"/>
          <w:szCs w:val="24"/>
          <w:u w:val="none"/>
          <w:vertAlign w:val="superscript"/>
        </w:rPr>
        <w:t>)</w:t>
      </w:r>
      <w:r w:rsidR="00323499">
        <w:rPr>
          <w:rFonts w:ascii="Times New Roman" w:hAnsi="Times New Roman" w:cs="Times New Roman"/>
          <w:sz w:val="24"/>
          <w:szCs w:val="24"/>
        </w:rPr>
        <w:t>)</w:t>
      </w:r>
      <w:r w:rsidR="002B0C83">
        <w:rPr>
          <w:rFonts w:ascii="Times New Roman" w:hAnsi="Times New Roman" w:cs="Times New Roman"/>
          <w:sz w:val="24"/>
          <w:szCs w:val="24"/>
        </w:rPr>
        <w:t>, nicméně konzultace nepřinesla žádné konkrétní poznatky ohledně těchto překážek, většina respondentů se k těmto otázkám nevyjádřila.</w:t>
      </w:r>
      <w:r w:rsidR="000E06F2">
        <w:rPr>
          <w:rFonts w:ascii="Times New Roman" w:hAnsi="Times New Roman" w:cs="Times New Roman"/>
          <w:sz w:val="24"/>
          <w:szCs w:val="24"/>
        </w:rPr>
        <w:t xml:space="preserve"> Z </w:t>
      </w:r>
      <w:r w:rsidR="00131657">
        <w:rPr>
          <w:rFonts w:ascii="Times New Roman" w:hAnsi="Times New Roman" w:cs="Times New Roman"/>
          <w:sz w:val="24"/>
          <w:szCs w:val="24"/>
        </w:rPr>
        <w:t xml:space="preserve">několika mála </w:t>
      </w:r>
      <w:r w:rsidR="000E06F2">
        <w:rPr>
          <w:rFonts w:ascii="Times New Roman" w:hAnsi="Times New Roman" w:cs="Times New Roman"/>
          <w:sz w:val="24"/>
          <w:szCs w:val="24"/>
        </w:rPr>
        <w:t xml:space="preserve">obdržených vyjádření vyplynulo, že překážky nejsou identifikovány a že se jedná spíše o nezájem ze strany potenciálních emitentů, který je dán </w:t>
      </w:r>
      <w:r w:rsidR="00131657">
        <w:rPr>
          <w:rFonts w:ascii="Times New Roman" w:hAnsi="Times New Roman" w:cs="Times New Roman"/>
          <w:sz w:val="24"/>
          <w:szCs w:val="24"/>
        </w:rPr>
        <w:t>nadměrnou likviditou bank, nízkými úrokovými sazbami a dobrou kvalitou bankovních úvěrů (malým poměrem</w:t>
      </w:r>
      <w:r w:rsidR="00AB4BDD">
        <w:rPr>
          <w:rFonts w:ascii="Times New Roman" w:hAnsi="Times New Roman" w:cs="Times New Roman"/>
          <w:sz w:val="24"/>
          <w:szCs w:val="24"/>
        </w:rPr>
        <w:t xml:space="preserve"> nesplácených</w:t>
      </w:r>
      <w:r w:rsidR="00131657">
        <w:rPr>
          <w:rFonts w:ascii="Times New Roman" w:hAnsi="Times New Roman" w:cs="Times New Roman"/>
          <w:sz w:val="24"/>
          <w:szCs w:val="24"/>
        </w:rPr>
        <w:t xml:space="preserve"> úvěrů v ČR). </w:t>
      </w:r>
      <w:r w:rsidR="003F1CE6">
        <w:rPr>
          <w:rFonts w:ascii="Times New Roman" w:hAnsi="Times New Roman" w:cs="Times New Roman"/>
          <w:sz w:val="24"/>
          <w:szCs w:val="24"/>
        </w:rPr>
        <w:t xml:space="preserve">Také byla zmiňována neexistence sekundárního trhu, kdy jsou nástroje peněžního trhu využívány pouze pro </w:t>
      </w:r>
      <w:r w:rsidR="003F1CE6">
        <w:rPr>
          <w:rFonts w:ascii="Times New Roman" w:hAnsi="Times New Roman" w:cs="Times New Roman"/>
          <w:sz w:val="24"/>
          <w:szCs w:val="24"/>
        </w:rPr>
        <w:t>repo</w:t>
      </w:r>
      <w:r w:rsidR="003F1CE6">
        <w:rPr>
          <w:rFonts w:ascii="Times New Roman" w:hAnsi="Times New Roman" w:cs="Times New Roman"/>
          <w:sz w:val="24"/>
          <w:szCs w:val="24"/>
        </w:rPr>
        <w:t xml:space="preserve"> operace a primární aukce a pro nefinanční instituce není prakticky možné tyto nástroje koupit. </w:t>
      </w:r>
      <w:r w:rsidR="00AB4BDD">
        <w:rPr>
          <w:rFonts w:ascii="Times New Roman" w:hAnsi="Times New Roman" w:cs="Times New Roman"/>
          <w:sz w:val="24"/>
          <w:szCs w:val="24"/>
        </w:rPr>
        <w:t>Do budoucna je vhodné toto téma dále sledovat, zejména s ohledem na případné dopady pandemie COVID-19, která může vést k nárůstu objemu nesplácených úvěrů.</w:t>
      </w:r>
      <w:r w:rsidR="00D33314">
        <w:rPr>
          <w:rFonts w:ascii="Times New Roman" w:hAnsi="Times New Roman" w:cs="Times New Roman"/>
          <w:sz w:val="24"/>
          <w:szCs w:val="24"/>
        </w:rPr>
        <w:t xml:space="preserve"> Nicméně ve vztahu k jiným státům EU je výchozí </w:t>
      </w:r>
      <w:r w:rsidR="00D33314">
        <w:rPr>
          <w:rFonts w:ascii="Times New Roman" w:hAnsi="Times New Roman" w:cs="Times New Roman"/>
          <w:sz w:val="24"/>
          <w:szCs w:val="24"/>
        </w:rPr>
        <w:t>situace v ČR výrazně pozitivní (ať již jde o kapitalizaci bank či nesplácené úvěry), nelze proto v tomto ohledu očekávat zásadní změny. V tomto ohledu nebyla ani identifikována potřeba legislativních změn. Ale n</w:t>
      </w:r>
      <w:r w:rsidR="0004383B">
        <w:rPr>
          <w:rFonts w:ascii="Times New Roman" w:hAnsi="Times New Roman" w:cs="Times New Roman"/>
          <w:sz w:val="24"/>
          <w:szCs w:val="24"/>
        </w:rPr>
        <w:t xml:space="preserve">apříklad v EU a v </w:t>
      </w:r>
      <w:r>
        <w:fldChar w:fldCharType="begin"/>
      </w:r>
      <w:r>
        <w:instrText xml:space="preserve"> HYPERLINK "https://www.bis.org/press/p200623.htm" </w:instrText>
      </w:r>
      <w:r>
        <w:fldChar w:fldCharType="separate"/>
      </w:r>
      <w:r w:rsidRPr="0004383B" w:rsidR="0004383B">
        <w:rPr>
          <w:rStyle w:val="Hyperlink"/>
          <w:rFonts w:ascii="Times New Roman" w:hAnsi="Times New Roman" w:cs="Times New Roman"/>
          <w:sz w:val="24"/>
          <w:szCs w:val="24"/>
        </w:rPr>
        <w:t>B</w:t>
      </w:r>
      <w:r w:rsidRPr="0004383B" w:rsidR="00D33314">
        <w:rPr>
          <w:rStyle w:val="Hyperlink"/>
          <w:rFonts w:ascii="Times New Roman" w:hAnsi="Times New Roman" w:cs="Times New Roman"/>
          <w:sz w:val="24"/>
          <w:szCs w:val="24"/>
        </w:rPr>
        <w:t xml:space="preserve">asilejském výboru </w:t>
      </w:r>
      <w:r w:rsidRPr="0004383B" w:rsidR="0004383B">
        <w:rPr>
          <w:rStyle w:val="Hyperlink"/>
          <w:rFonts w:ascii="Times New Roman" w:hAnsi="Times New Roman" w:cs="Times New Roman"/>
          <w:sz w:val="24"/>
          <w:szCs w:val="24"/>
        </w:rPr>
        <w:t>pro bankovní dohled</w:t>
      </w:r>
      <w:r>
        <w:fldChar w:fldCharType="end"/>
      </w:r>
      <w:r w:rsidR="00385EA2">
        <w:rPr>
          <w:rStyle w:val="Hyperlink"/>
          <w:rFonts w:ascii="Times New Roman" w:hAnsi="Times New Roman" w:cs="Times New Roman"/>
          <w:color w:val="auto"/>
          <w:sz w:val="24"/>
          <w:szCs w:val="24"/>
          <w:u w:val="none"/>
          <w:vertAlign w:val="superscript"/>
        </w:rPr>
        <w:t>79</w:t>
      </w:r>
      <w:r w:rsidRPr="00F261B8" w:rsidR="00385EA2">
        <w:rPr>
          <w:rStyle w:val="Hyperlink"/>
          <w:rFonts w:ascii="Times New Roman" w:hAnsi="Times New Roman" w:cs="Times New Roman"/>
          <w:color w:val="auto"/>
          <w:sz w:val="24"/>
          <w:szCs w:val="24"/>
          <w:u w:val="none"/>
          <w:vertAlign w:val="superscript"/>
        </w:rPr>
        <w:t>)</w:t>
      </w:r>
      <w:r w:rsidR="0004383B">
        <w:rPr>
          <w:rFonts w:ascii="Times New Roman" w:hAnsi="Times New Roman" w:cs="Times New Roman"/>
          <w:sz w:val="24"/>
          <w:szCs w:val="24"/>
        </w:rPr>
        <w:t xml:space="preserve"> </w:t>
      </w:r>
      <w:r w:rsidR="00D33314">
        <w:rPr>
          <w:rFonts w:ascii="Times New Roman" w:hAnsi="Times New Roman" w:cs="Times New Roman"/>
          <w:sz w:val="24"/>
          <w:szCs w:val="24"/>
        </w:rPr>
        <w:t xml:space="preserve">je aktuálně řešena otázka </w:t>
      </w:r>
      <w:r w:rsidR="00D33314">
        <w:rPr>
          <w:rFonts w:ascii="Times New Roman" w:hAnsi="Times New Roman" w:cs="Times New Roman"/>
          <w:sz w:val="24"/>
          <w:szCs w:val="24"/>
        </w:rPr>
        <w:t>sekuritizace</w:t>
      </w:r>
      <w:r w:rsidR="00D33314">
        <w:rPr>
          <w:rFonts w:ascii="Times New Roman" w:hAnsi="Times New Roman" w:cs="Times New Roman"/>
          <w:sz w:val="24"/>
          <w:szCs w:val="24"/>
        </w:rPr>
        <w:t xml:space="preserve"> nesplácených úvěrů</w:t>
      </w:r>
      <w:r w:rsidR="009F5076">
        <w:rPr>
          <w:rFonts w:ascii="Times New Roman" w:hAnsi="Times New Roman" w:cs="Times New Roman"/>
          <w:sz w:val="24"/>
          <w:szCs w:val="24"/>
        </w:rPr>
        <w:t>, lze tedy očekávat legislativní změny na úrovni EU</w:t>
      </w:r>
      <w:r w:rsidR="00D33314">
        <w:rPr>
          <w:rFonts w:ascii="Times New Roman" w:hAnsi="Times New Roman" w:cs="Times New Roman"/>
          <w:sz w:val="24"/>
          <w:szCs w:val="24"/>
        </w:rPr>
        <w:t>.</w:t>
      </w:r>
    </w:p>
    <w:p w:rsidR="0004383B" w:rsidRPr="0004383B" w:rsidP="00867155">
      <w:pPr>
        <w:spacing w:before="120" w:after="120" w:line="240" w:lineRule="auto"/>
        <w:jc w:val="center"/>
        <w:rPr>
          <w:rFonts w:ascii="Times New Roman" w:hAnsi="Times New Roman" w:cs="Times New Roman"/>
          <w:b/>
          <w:i/>
          <w:sz w:val="24"/>
          <w:szCs w:val="24"/>
        </w:rPr>
      </w:pPr>
      <w:r w:rsidRPr="0004383B">
        <w:rPr>
          <w:rFonts w:ascii="Times New Roman" w:hAnsi="Times New Roman" w:cs="Times New Roman"/>
          <w:b/>
          <w:i/>
          <w:sz w:val="24"/>
          <w:szCs w:val="24"/>
        </w:rPr>
        <w:t>15) Větší zapojení penzijních fondů do fungování kapitálového trhu v České republice</w:t>
      </w:r>
    </w:p>
    <w:tbl>
      <w:tblPr>
        <w:tblStyle w:val="Mkatabulky4"/>
        <w:tblW w:w="0" w:type="auto"/>
        <w:shd w:val="solid" w:color="auto" w:fill="auto"/>
        <w:tblLook w:val="04A0"/>
      </w:tblPr>
      <w:tblGrid>
        <w:gridCol w:w="5272"/>
        <w:gridCol w:w="2659"/>
        <w:gridCol w:w="1131"/>
      </w:tblGrid>
      <w:tr w:rsidTr="008B205B">
        <w:tblPrEx>
          <w:tblW w:w="0" w:type="auto"/>
          <w:shd w:val="solid" w:color="auto" w:fill="auto"/>
          <w:tblLook w:val="04A0"/>
        </w:tblPrEx>
        <w:tc>
          <w:tcPr>
            <w:tcW w:w="5353" w:type="dxa"/>
            <w:shd w:val="clear" w:color="auto" w:fill="002060"/>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8B205B">
        <w:tblPrEx>
          <w:tblW w:w="0" w:type="auto"/>
          <w:shd w:val="solid" w:color="auto" w:fill="auto"/>
          <w:tblLook w:val="04A0"/>
        </w:tblPrEx>
        <w:tc>
          <w:tcPr>
            <w:tcW w:w="5353" w:type="dxa"/>
            <w:shd w:val="clear" w:color="auto" w:fill="auto"/>
          </w:tcPr>
          <w:p w:rsidR="0004383B" w:rsidRPr="00867155" w:rsidP="008B205B">
            <w:pPr>
              <w:spacing w:after="80"/>
              <w:rPr>
                <w:rFonts w:ascii="Times New Roman" w:hAnsi="Times New Roman" w:cs="Times New Roman"/>
                <w:sz w:val="20"/>
                <w:szCs w:val="20"/>
              </w:rPr>
            </w:pPr>
            <w:r w:rsidRPr="00867155">
              <w:rPr>
                <w:rFonts w:ascii="Times New Roman" w:hAnsi="Times New Roman" w:cs="Times New Roman"/>
                <w:sz w:val="20"/>
                <w:szCs w:val="20"/>
              </w:rPr>
              <w:t xml:space="preserve">Navrhnout zavedení nového účastnického fondu s vyššími poplatky za obhospodařování, který bude moci investovat do alternativních aktiv (např. do </w:t>
            </w:r>
            <w:r w:rsidRPr="00867155">
              <w:rPr>
                <w:rFonts w:ascii="Times New Roman" w:hAnsi="Times New Roman" w:cs="Times New Roman"/>
                <w:i/>
                <w:sz w:val="20"/>
                <w:szCs w:val="20"/>
              </w:rPr>
              <w:t>private</w:t>
            </w:r>
            <w:r w:rsidRPr="00867155">
              <w:rPr>
                <w:rFonts w:ascii="Times New Roman" w:hAnsi="Times New Roman" w:cs="Times New Roman"/>
                <w:i/>
                <w:sz w:val="20"/>
                <w:szCs w:val="20"/>
              </w:rPr>
              <w:t xml:space="preserve"> </w:t>
            </w:r>
            <w:r w:rsidRPr="00867155">
              <w:rPr>
                <w:rFonts w:ascii="Times New Roman" w:hAnsi="Times New Roman" w:cs="Times New Roman"/>
                <w:i/>
                <w:sz w:val="20"/>
                <w:szCs w:val="20"/>
              </w:rPr>
              <w:t>equity</w:t>
            </w:r>
            <w:r w:rsidRPr="00867155">
              <w:rPr>
                <w:rFonts w:ascii="Times New Roman" w:hAnsi="Times New Roman" w:cs="Times New Roman"/>
                <w:sz w:val="20"/>
                <w:szCs w:val="20"/>
              </w:rPr>
              <w:t xml:space="preserve"> fondů)</w:t>
            </w:r>
          </w:p>
        </w:tc>
        <w:tc>
          <w:tcPr>
            <w:tcW w:w="2693" w:type="dxa"/>
            <w:shd w:val="clear" w:color="auto" w:fill="auto"/>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r w:rsidTr="008B205B">
        <w:tblPrEx>
          <w:tblW w:w="0" w:type="auto"/>
          <w:shd w:val="clear" w:color="auto" w:fill="auto"/>
          <w:tblLook w:val="04A0"/>
        </w:tblPrEx>
        <w:tc>
          <w:tcPr>
            <w:tcW w:w="5353" w:type="dxa"/>
          </w:tcPr>
          <w:p w:rsidR="0004383B" w:rsidRPr="00867155" w:rsidP="008B205B">
            <w:pPr>
              <w:rPr>
                <w:rFonts w:ascii="Times New Roman" w:hAnsi="Times New Roman" w:cs="Times New Roman"/>
                <w:sz w:val="20"/>
                <w:szCs w:val="20"/>
              </w:rPr>
            </w:pPr>
            <w:r w:rsidRPr="00867155">
              <w:rPr>
                <w:rFonts w:ascii="Times New Roman" w:hAnsi="Times New Roman" w:cs="Times New Roman"/>
                <w:sz w:val="20"/>
                <w:szCs w:val="20"/>
              </w:rPr>
              <w:t>Revidovat systém státní podpory ve vztahu k penzijním fondům tak, aby byli účastníci motivováni k vyšším měsíčním úložkám a k převodu uspořených prostředků z transformovaných fondů do účastnických fondů a současně zvážit limitaci poskytování státní podpory věkem účastníka</w:t>
            </w:r>
          </w:p>
        </w:tc>
        <w:tc>
          <w:tcPr>
            <w:tcW w:w="2693" w:type="dxa"/>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tcPr>
          <w:p w:rsidR="0004383B"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04383B"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Koncepční novela obsahuje návrh na novou úpravu tzv. alternativního účastnického fondu, který má možnost účtovat vyšší poplatky za správu a současně má volnější regulaci investiční strategie. Předpokládá se, že tento nový typ účastnického fondu bude moci investovat i do fondů </w:t>
      </w:r>
      <w:r w:rsidRPr="0042190D">
        <w:rPr>
          <w:rFonts w:ascii="Times New Roman" w:hAnsi="Times New Roman" w:cs="Times New Roman"/>
          <w:sz w:val="24"/>
          <w:szCs w:val="24"/>
        </w:rPr>
        <w:t>private</w:t>
      </w:r>
      <w:r w:rsidRPr="0042190D">
        <w:rPr>
          <w:rFonts w:ascii="Times New Roman" w:hAnsi="Times New Roman" w:cs="Times New Roman"/>
          <w:sz w:val="24"/>
          <w:szCs w:val="24"/>
        </w:rPr>
        <w:t xml:space="preserve"> </w:t>
      </w:r>
      <w:r w:rsidRPr="0042190D">
        <w:rPr>
          <w:rFonts w:ascii="Times New Roman" w:hAnsi="Times New Roman" w:cs="Times New Roman"/>
          <w:sz w:val="24"/>
          <w:szCs w:val="24"/>
        </w:rPr>
        <w:t>equity</w:t>
      </w:r>
      <w:r>
        <w:rPr>
          <w:rFonts w:ascii="Times New Roman" w:hAnsi="Times New Roman" w:cs="Times New Roman"/>
          <w:sz w:val="24"/>
          <w:szCs w:val="24"/>
        </w:rPr>
        <w:t xml:space="preserve">, čemuž dnes brání regulace poplatků účastnických fondů. V tuto chvíli lze obtížně odhadovat, do jaké míry bude zájem mezi penzijními společnostmi o vytváření tohoto typu fondů a jaký zájem bude mezi účastníky doplňkového penzijního spoření. Koncepční novela rovněž obsahuje návrh úpravy za účelem zvýšení mobility účastníků transformovaných fondů do účastnických fondů, a to umožněním zachování provedených investic do transformovaných fondů bez nutnosti jejich převodu do účastnických fondů. Limitace poskytování státní podpory </w:t>
      </w:r>
      <w:r w:rsidR="00136D05">
        <w:rPr>
          <w:rFonts w:ascii="Times New Roman" w:hAnsi="Times New Roman" w:cs="Times New Roman"/>
          <w:sz w:val="24"/>
          <w:szCs w:val="24"/>
        </w:rPr>
        <w:t>věkem účastníka nenašla potřebnou podporu</w:t>
      </w:r>
      <w:r w:rsidR="003F0A46">
        <w:rPr>
          <w:rFonts w:ascii="Times New Roman" w:hAnsi="Times New Roman" w:cs="Times New Roman"/>
          <w:sz w:val="24"/>
          <w:szCs w:val="24"/>
        </w:rPr>
        <w:t>. Jako alternativa byla zvažována možnost nepřiznat státní podporu, pokud účastník pobírá starobní důchod, nicméně i tato alternativa byla považována za kontroverzní, kdy řada důchodců vnímá státní podporu jako vhodné přilepšení ke státnímu důchodu</w:t>
      </w:r>
      <w:r w:rsidR="00136D05">
        <w:rPr>
          <w:rFonts w:ascii="Times New Roman" w:hAnsi="Times New Roman" w:cs="Times New Roman"/>
          <w:sz w:val="24"/>
          <w:szCs w:val="24"/>
        </w:rPr>
        <w:t xml:space="preserve">. Navíc revize systému státní podpory se stala tématem Komise pro spravedlivé důchody, proto byly možné úvahy limitovány plánovanými jednáními této komise. Také se čekalo na </w:t>
      </w:r>
      <w:r>
        <w:fldChar w:fldCharType="begin"/>
      </w:r>
      <w:r>
        <w:instrText xml:space="preserve"> HYPERLINK "http://duchodovakomise.cz/wp-content/uploads/2020/11/OECD-Penzijn%C3%AD-p%C5%99ehled-%C4%8CR.pdf" </w:instrText>
      </w:r>
      <w:r>
        <w:fldChar w:fldCharType="separate"/>
      </w:r>
      <w:r w:rsidRPr="00136D05" w:rsidR="00136D05">
        <w:rPr>
          <w:rStyle w:val="Hyperlink"/>
          <w:rFonts w:ascii="Times New Roman" w:hAnsi="Times New Roman" w:cs="Times New Roman"/>
          <w:sz w:val="24"/>
          <w:szCs w:val="24"/>
        </w:rPr>
        <w:t>zprávu OECD</w:t>
      </w:r>
      <w:r>
        <w:fldChar w:fldCharType="end"/>
      </w:r>
      <w:r w:rsidR="00385EA2">
        <w:rPr>
          <w:rStyle w:val="Hyperlink"/>
          <w:rFonts w:ascii="Times New Roman" w:hAnsi="Times New Roman" w:cs="Times New Roman"/>
          <w:color w:val="auto"/>
          <w:sz w:val="24"/>
          <w:szCs w:val="24"/>
          <w:u w:val="none"/>
          <w:vertAlign w:val="superscript"/>
        </w:rPr>
        <w:t>80</w:t>
      </w:r>
      <w:r w:rsidRPr="00F261B8" w:rsidR="00385EA2">
        <w:rPr>
          <w:rStyle w:val="Hyperlink"/>
          <w:rFonts w:ascii="Times New Roman" w:hAnsi="Times New Roman" w:cs="Times New Roman"/>
          <w:color w:val="auto"/>
          <w:sz w:val="24"/>
          <w:szCs w:val="24"/>
          <w:u w:val="none"/>
          <w:vertAlign w:val="superscript"/>
        </w:rPr>
        <w:t>)</w:t>
      </w:r>
      <w:r w:rsidR="00136D05">
        <w:rPr>
          <w:rFonts w:ascii="Times New Roman" w:hAnsi="Times New Roman" w:cs="Times New Roman"/>
          <w:sz w:val="24"/>
          <w:szCs w:val="24"/>
        </w:rPr>
        <w:t xml:space="preserve">, která byla </w:t>
      </w:r>
      <w:r>
        <w:fldChar w:fldCharType="begin"/>
      </w:r>
      <w:r>
        <w:instrText xml:space="preserve"> HYPERLINK "https://www.mfcr.cz/cs/aktualne/tiskove-zpravy/2020/oecd-zhodnotilo-cesky-duchodovy-system-39947" </w:instrText>
      </w:r>
      <w:r>
        <w:fldChar w:fldCharType="separate"/>
      </w:r>
      <w:r w:rsidRPr="00136D05" w:rsidR="00136D05">
        <w:rPr>
          <w:rStyle w:val="Hyperlink"/>
          <w:rFonts w:ascii="Times New Roman" w:hAnsi="Times New Roman" w:cs="Times New Roman"/>
          <w:sz w:val="24"/>
          <w:szCs w:val="24"/>
        </w:rPr>
        <w:t>zveřejněna</w:t>
      </w:r>
      <w:r>
        <w:fldChar w:fldCharType="end"/>
      </w:r>
      <w:r w:rsidR="00385EA2">
        <w:rPr>
          <w:rStyle w:val="Hyperlink"/>
          <w:rFonts w:ascii="Times New Roman" w:hAnsi="Times New Roman" w:cs="Times New Roman"/>
          <w:color w:val="auto"/>
          <w:sz w:val="24"/>
          <w:szCs w:val="24"/>
          <w:u w:val="none"/>
          <w:vertAlign w:val="superscript"/>
        </w:rPr>
        <w:t>81</w:t>
      </w:r>
      <w:r w:rsidRPr="00F261B8" w:rsidR="00385EA2">
        <w:rPr>
          <w:rStyle w:val="Hyperlink"/>
          <w:rFonts w:ascii="Times New Roman" w:hAnsi="Times New Roman" w:cs="Times New Roman"/>
          <w:color w:val="auto"/>
          <w:sz w:val="24"/>
          <w:szCs w:val="24"/>
          <w:u w:val="none"/>
          <w:vertAlign w:val="superscript"/>
        </w:rPr>
        <w:t>)</w:t>
      </w:r>
      <w:r w:rsidR="00136D05">
        <w:rPr>
          <w:rFonts w:ascii="Times New Roman" w:hAnsi="Times New Roman" w:cs="Times New Roman"/>
          <w:sz w:val="24"/>
          <w:szCs w:val="24"/>
        </w:rPr>
        <w:t xml:space="preserve"> v listopadu 2020. V prosinci 2020 se očekává zahájení meziresortního připomínkového řízení k návrhu novely zákonů v souvislosti s </w:t>
      </w:r>
      <w:r>
        <w:fldChar w:fldCharType="begin"/>
      </w:r>
      <w:r>
        <w:instrText xml:space="preserve"> HYPERLINK "https://ct24.ceskatelevize.cz/ekonomika/3232532-malacova-predlozi-v-prosinci-navrh-zakona-s-reformou-duchodu" </w:instrText>
      </w:r>
      <w:r>
        <w:fldChar w:fldCharType="separate"/>
      </w:r>
      <w:r w:rsidRPr="00AB2E1F" w:rsidR="00136D05">
        <w:rPr>
          <w:rStyle w:val="Hyperlink"/>
          <w:rFonts w:ascii="Times New Roman" w:hAnsi="Times New Roman" w:cs="Times New Roman"/>
          <w:sz w:val="24"/>
          <w:szCs w:val="24"/>
        </w:rPr>
        <w:t>důchodovou reformou</w:t>
      </w:r>
      <w:r>
        <w:fldChar w:fldCharType="end"/>
      </w:r>
      <w:r w:rsidR="00385EA2">
        <w:rPr>
          <w:rStyle w:val="Hyperlink"/>
          <w:rFonts w:ascii="Times New Roman" w:hAnsi="Times New Roman" w:cs="Times New Roman"/>
          <w:color w:val="auto"/>
          <w:sz w:val="24"/>
          <w:szCs w:val="24"/>
          <w:u w:val="none"/>
          <w:vertAlign w:val="superscript"/>
        </w:rPr>
        <w:t>82</w:t>
      </w:r>
      <w:r w:rsidRPr="00F261B8" w:rsidR="00385EA2">
        <w:rPr>
          <w:rStyle w:val="Hyperlink"/>
          <w:rFonts w:ascii="Times New Roman" w:hAnsi="Times New Roman" w:cs="Times New Roman"/>
          <w:color w:val="auto"/>
          <w:sz w:val="24"/>
          <w:szCs w:val="24"/>
          <w:u w:val="none"/>
          <w:vertAlign w:val="superscript"/>
        </w:rPr>
        <w:t>)</w:t>
      </w:r>
      <w:r w:rsidR="00136D05">
        <w:rPr>
          <w:rFonts w:ascii="Times New Roman" w:hAnsi="Times New Roman" w:cs="Times New Roman"/>
          <w:sz w:val="24"/>
          <w:szCs w:val="24"/>
        </w:rPr>
        <w:t xml:space="preserve">. </w:t>
      </w:r>
      <w:r w:rsidR="00210117">
        <w:rPr>
          <w:rFonts w:ascii="Times New Roman" w:hAnsi="Times New Roman" w:cs="Times New Roman"/>
          <w:sz w:val="24"/>
          <w:szCs w:val="24"/>
        </w:rPr>
        <w:t>V té souvislosti probíhají i úvahy o parametrických změnách III. pilíře</w:t>
      </w:r>
      <w:r w:rsidR="007568C0">
        <w:rPr>
          <w:rFonts w:ascii="Times New Roman" w:hAnsi="Times New Roman" w:cs="Times New Roman"/>
          <w:sz w:val="24"/>
          <w:szCs w:val="24"/>
        </w:rPr>
        <w:t xml:space="preserve"> důchodového systému</w:t>
      </w:r>
      <w:r w:rsidR="00210117">
        <w:rPr>
          <w:rFonts w:ascii="Times New Roman" w:hAnsi="Times New Roman" w:cs="Times New Roman"/>
          <w:sz w:val="24"/>
          <w:szCs w:val="24"/>
        </w:rPr>
        <w:t xml:space="preserve">, nicméně tyto úvahy do značné míry závisí na tom, </w:t>
      </w:r>
      <w:r w:rsidR="007568C0">
        <w:rPr>
          <w:rFonts w:ascii="Times New Roman" w:hAnsi="Times New Roman" w:cs="Times New Roman"/>
          <w:sz w:val="24"/>
          <w:szCs w:val="24"/>
        </w:rPr>
        <w:t>jak dopadnou úvahy o I. pilíři (a případně i</w:t>
      </w:r>
      <w:r w:rsidR="00330211">
        <w:rPr>
          <w:rFonts w:ascii="Times New Roman" w:hAnsi="Times New Roman" w:cs="Times New Roman"/>
          <w:sz w:val="24"/>
          <w:szCs w:val="24"/>
        </w:rPr>
        <w:t> </w:t>
      </w:r>
      <w:r w:rsidR="007568C0">
        <w:rPr>
          <w:rFonts w:ascii="Times New Roman" w:hAnsi="Times New Roman" w:cs="Times New Roman"/>
          <w:sz w:val="24"/>
          <w:szCs w:val="24"/>
        </w:rPr>
        <w:t>o II. pilíři). Zejména je pro občany důležité vědět, s jakým příjmem z I. pilíře mohou počítat a kolik budou činit odvody do tohoto I. pilíře, aby mohli rozhodnout o tom, kolik mají a</w:t>
      </w:r>
      <w:r w:rsidR="00330211">
        <w:rPr>
          <w:rFonts w:ascii="Times New Roman" w:hAnsi="Times New Roman" w:cs="Times New Roman"/>
          <w:sz w:val="24"/>
          <w:szCs w:val="24"/>
        </w:rPr>
        <w:t> </w:t>
      </w:r>
      <w:r w:rsidR="007568C0">
        <w:rPr>
          <w:rFonts w:ascii="Times New Roman" w:hAnsi="Times New Roman" w:cs="Times New Roman"/>
          <w:sz w:val="24"/>
          <w:szCs w:val="24"/>
        </w:rPr>
        <w:t>mohou spořit dobrovolně do III. pilíře. To je pak důležité pro rozhodnutí o tom, k čemu a</w:t>
      </w:r>
      <w:r w:rsidR="00330211">
        <w:t> </w:t>
      </w:r>
      <w:r w:rsidR="007568C0">
        <w:rPr>
          <w:rFonts w:ascii="Times New Roman" w:hAnsi="Times New Roman" w:cs="Times New Roman"/>
          <w:sz w:val="24"/>
          <w:szCs w:val="24"/>
        </w:rPr>
        <w:t>jak občany v tomto ohledu motivovat.</w:t>
      </w:r>
    </w:p>
    <w:p w:rsidR="007568C0" w:rsidRPr="00AC3DA1" w:rsidP="00867155">
      <w:pPr>
        <w:spacing w:before="120" w:after="120" w:line="240" w:lineRule="auto"/>
        <w:jc w:val="center"/>
        <w:rPr>
          <w:rFonts w:ascii="Times New Roman" w:hAnsi="Times New Roman" w:cs="Times New Roman"/>
          <w:b/>
          <w:i/>
          <w:sz w:val="24"/>
          <w:szCs w:val="24"/>
        </w:rPr>
      </w:pPr>
      <w:r w:rsidRPr="00AC3DA1">
        <w:rPr>
          <w:rFonts w:ascii="Times New Roman" w:hAnsi="Times New Roman" w:cs="Times New Roman"/>
          <w:b/>
          <w:i/>
          <w:sz w:val="24"/>
          <w:szCs w:val="24"/>
        </w:rPr>
        <w:t xml:space="preserve">16) Další zatraktivnění </w:t>
      </w:r>
      <w:r w:rsidRPr="00AC3DA1">
        <w:rPr>
          <w:rFonts w:ascii="Times New Roman" w:hAnsi="Times New Roman" w:cs="Times New Roman"/>
          <w:b/>
          <w:i/>
          <w:sz w:val="24"/>
          <w:szCs w:val="24"/>
        </w:rPr>
        <w:t>podfondů</w:t>
      </w:r>
    </w:p>
    <w:tbl>
      <w:tblPr>
        <w:tblStyle w:val="Mkatabulky5"/>
        <w:tblW w:w="0" w:type="auto"/>
        <w:shd w:val="solid" w:color="auto" w:fill="auto"/>
        <w:tblLook w:val="04A0"/>
      </w:tblPr>
      <w:tblGrid>
        <w:gridCol w:w="5265"/>
        <w:gridCol w:w="2665"/>
        <w:gridCol w:w="1132"/>
      </w:tblGrid>
      <w:tr w:rsidTr="008B205B">
        <w:tblPrEx>
          <w:tblW w:w="0" w:type="auto"/>
          <w:shd w:val="solid" w:color="auto" w:fill="auto"/>
          <w:tblLook w:val="04A0"/>
        </w:tblPrEx>
        <w:tc>
          <w:tcPr>
            <w:tcW w:w="5353" w:type="dxa"/>
            <w:shd w:val="clear" w:color="auto" w:fill="002060"/>
          </w:tcPr>
          <w:p w:rsidR="00AC3DA1" w:rsidRPr="00AC3DA1" w:rsidP="008B205B">
            <w:pPr>
              <w:jc w:val="center"/>
              <w:rPr>
                <w:rFonts w:ascii="Times New Roman" w:hAnsi="Times New Roman" w:cs="Times New Roman"/>
              </w:rPr>
            </w:pPr>
            <w:r w:rsidRPr="00AC3DA1">
              <w:rPr>
                <w:rFonts w:ascii="Times New Roman" w:hAnsi="Times New Roman" w:cs="Times New Roman"/>
              </w:rPr>
              <w:t>PLÁN</w:t>
            </w:r>
          </w:p>
        </w:tc>
        <w:tc>
          <w:tcPr>
            <w:tcW w:w="2693" w:type="dxa"/>
            <w:shd w:val="clear" w:color="auto" w:fill="002060"/>
          </w:tcPr>
          <w:p w:rsidR="00AC3DA1" w:rsidRPr="00AC3DA1" w:rsidP="008B205B">
            <w:pPr>
              <w:jc w:val="center"/>
              <w:rPr>
                <w:rFonts w:ascii="Times New Roman" w:hAnsi="Times New Roman" w:cs="Times New Roman"/>
              </w:rPr>
            </w:pPr>
            <w:r w:rsidRPr="00AC3DA1">
              <w:rPr>
                <w:rFonts w:ascii="Times New Roman" w:hAnsi="Times New Roman" w:cs="Times New Roman"/>
              </w:rPr>
              <w:t>DOTČENÉ SUBJEKTY</w:t>
            </w:r>
          </w:p>
        </w:tc>
        <w:tc>
          <w:tcPr>
            <w:tcW w:w="1134" w:type="dxa"/>
            <w:shd w:val="clear" w:color="auto" w:fill="002060"/>
          </w:tcPr>
          <w:p w:rsidR="00AC3DA1" w:rsidRPr="00AC3DA1" w:rsidP="008B205B">
            <w:pPr>
              <w:jc w:val="center"/>
              <w:rPr>
                <w:rFonts w:ascii="Times New Roman" w:hAnsi="Times New Roman" w:cs="Times New Roman"/>
              </w:rPr>
            </w:pPr>
            <w:r w:rsidRPr="00AC3DA1">
              <w:rPr>
                <w:rFonts w:ascii="Times New Roman" w:hAnsi="Times New Roman" w:cs="Times New Roman"/>
              </w:rPr>
              <w:t>TERMÍN</w:t>
            </w:r>
          </w:p>
        </w:tc>
      </w:tr>
      <w:tr w:rsidTr="008B205B">
        <w:tblPrEx>
          <w:tblW w:w="0" w:type="auto"/>
          <w:shd w:val="solid" w:color="auto" w:fill="auto"/>
          <w:tblLook w:val="04A0"/>
        </w:tblPrEx>
        <w:tc>
          <w:tcPr>
            <w:tcW w:w="5353" w:type="dxa"/>
            <w:shd w:val="clear" w:color="auto" w:fill="auto"/>
          </w:tcPr>
          <w:p w:rsidR="00AC3DA1" w:rsidRPr="00867155" w:rsidP="008B205B">
            <w:pPr>
              <w:rPr>
                <w:rFonts w:ascii="Times New Roman" w:hAnsi="Times New Roman" w:cs="Times New Roman"/>
                <w:sz w:val="20"/>
                <w:szCs w:val="20"/>
              </w:rPr>
            </w:pPr>
            <w:r w:rsidRPr="00867155">
              <w:rPr>
                <w:rFonts w:ascii="Times New Roman" w:hAnsi="Times New Roman" w:cs="Times New Roman"/>
                <w:sz w:val="20"/>
                <w:szCs w:val="20"/>
              </w:rPr>
              <w:t xml:space="preserve">Umožnit vytvoření </w:t>
            </w:r>
            <w:r w:rsidRPr="00867155">
              <w:rPr>
                <w:rFonts w:ascii="Times New Roman" w:hAnsi="Times New Roman" w:cs="Times New Roman"/>
                <w:sz w:val="20"/>
                <w:szCs w:val="20"/>
              </w:rPr>
              <w:t>podfondů</w:t>
            </w:r>
            <w:r w:rsidRPr="00867155">
              <w:rPr>
                <w:rFonts w:ascii="Times New Roman" w:hAnsi="Times New Roman" w:cs="Times New Roman"/>
                <w:sz w:val="20"/>
                <w:szCs w:val="20"/>
              </w:rPr>
              <w:t xml:space="preserve"> i pro jiné právní formy, než je SICAV</w:t>
            </w:r>
          </w:p>
        </w:tc>
        <w:tc>
          <w:tcPr>
            <w:tcW w:w="2693" w:type="dxa"/>
            <w:shd w:val="clear" w:color="auto" w:fill="auto"/>
          </w:tcPr>
          <w:p w:rsidR="00AC3DA1"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AC3DA1"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r w:rsidTr="008B205B">
        <w:tblPrEx>
          <w:tblW w:w="0" w:type="auto"/>
          <w:shd w:val="solid" w:color="auto" w:fill="auto"/>
          <w:tblLook w:val="04A0"/>
        </w:tblPrEx>
        <w:tc>
          <w:tcPr>
            <w:tcW w:w="5353" w:type="dxa"/>
            <w:shd w:val="clear" w:color="auto" w:fill="auto"/>
          </w:tcPr>
          <w:p w:rsidR="00AC3DA1" w:rsidRPr="00867155" w:rsidP="008B205B">
            <w:pPr>
              <w:rPr>
                <w:rFonts w:ascii="Times New Roman" w:hAnsi="Times New Roman" w:cs="Times New Roman"/>
                <w:sz w:val="20"/>
                <w:szCs w:val="20"/>
              </w:rPr>
            </w:pPr>
            <w:r w:rsidRPr="00867155">
              <w:rPr>
                <w:rFonts w:ascii="Times New Roman" w:hAnsi="Times New Roman" w:cs="Times New Roman"/>
                <w:sz w:val="20"/>
                <w:szCs w:val="20"/>
              </w:rPr>
              <w:t xml:space="preserve">Umožnit zachování tzv. časového testu i pro přechod mezi </w:t>
            </w:r>
            <w:r w:rsidRPr="00867155">
              <w:rPr>
                <w:rFonts w:ascii="Times New Roman" w:hAnsi="Times New Roman" w:cs="Times New Roman"/>
                <w:sz w:val="20"/>
                <w:szCs w:val="20"/>
              </w:rPr>
              <w:t>podfondy</w:t>
            </w:r>
            <w:r w:rsidRPr="00867155">
              <w:rPr>
                <w:rFonts w:ascii="Times New Roman" w:hAnsi="Times New Roman" w:cs="Times New Roman"/>
                <w:sz w:val="20"/>
                <w:szCs w:val="20"/>
              </w:rPr>
              <w:t xml:space="preserve"> jednoho </w:t>
            </w:r>
            <w:r w:rsidRPr="00867155">
              <w:rPr>
                <w:rFonts w:ascii="Times New Roman" w:hAnsi="Times New Roman" w:cs="Times New Roman"/>
                <w:sz w:val="20"/>
                <w:szCs w:val="20"/>
              </w:rPr>
              <w:t>SICAVu</w:t>
            </w:r>
          </w:p>
        </w:tc>
        <w:tc>
          <w:tcPr>
            <w:tcW w:w="2693" w:type="dxa"/>
            <w:shd w:val="clear" w:color="auto" w:fill="auto"/>
          </w:tcPr>
          <w:p w:rsidR="00AC3DA1"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4" w:type="dxa"/>
            <w:shd w:val="clear" w:color="auto" w:fill="auto"/>
          </w:tcPr>
          <w:p w:rsidR="00AC3DA1" w:rsidRPr="00867155" w:rsidP="008B205B">
            <w:pPr>
              <w:jc w:val="center"/>
              <w:rPr>
                <w:rFonts w:ascii="Times New Roman" w:hAnsi="Times New Roman" w:cs="Times New Roman"/>
                <w:sz w:val="20"/>
                <w:szCs w:val="20"/>
              </w:rPr>
            </w:pPr>
            <w:r w:rsidRPr="00867155">
              <w:rPr>
                <w:rFonts w:ascii="Times New Roman" w:hAnsi="Times New Roman" w:cs="Times New Roman"/>
                <w:sz w:val="20"/>
                <w:szCs w:val="20"/>
              </w:rPr>
              <w:t>Q4 2020</w:t>
            </w:r>
          </w:p>
        </w:tc>
      </w:tr>
    </w:tbl>
    <w:p w:rsidR="00AC3DA1"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Koncepční novela zavádí možnost vytvoření </w:t>
      </w:r>
      <w:r>
        <w:rPr>
          <w:rFonts w:ascii="Times New Roman" w:hAnsi="Times New Roman" w:cs="Times New Roman"/>
          <w:sz w:val="24"/>
          <w:szCs w:val="24"/>
        </w:rPr>
        <w:t>podfondů</w:t>
      </w:r>
      <w:r>
        <w:rPr>
          <w:rFonts w:ascii="Times New Roman" w:hAnsi="Times New Roman" w:cs="Times New Roman"/>
          <w:sz w:val="24"/>
          <w:szCs w:val="24"/>
        </w:rPr>
        <w:t xml:space="preserve"> i pro komanditní společnost na investiční listy a pro akciovou společnost, která je investičním fondem a není akciovou společností s proměnným základním kapitálem (tj. SICAV). U těchto dvou právních forem byla po možnosti vytvářet </w:t>
      </w:r>
      <w:r>
        <w:rPr>
          <w:rFonts w:ascii="Times New Roman" w:hAnsi="Times New Roman" w:cs="Times New Roman"/>
          <w:sz w:val="24"/>
          <w:szCs w:val="24"/>
        </w:rPr>
        <w:t>podfondy</w:t>
      </w:r>
      <w:r>
        <w:rPr>
          <w:rFonts w:ascii="Times New Roman" w:hAnsi="Times New Roman" w:cs="Times New Roman"/>
          <w:sz w:val="24"/>
          <w:szCs w:val="24"/>
        </w:rPr>
        <w:t xml:space="preserve"> největší poptávka. Současně Koncepční novela zatraktivňuje </w:t>
      </w:r>
      <w:r>
        <w:rPr>
          <w:rFonts w:ascii="Times New Roman" w:hAnsi="Times New Roman" w:cs="Times New Roman"/>
          <w:sz w:val="24"/>
          <w:szCs w:val="24"/>
        </w:rPr>
        <w:t>podfondy</w:t>
      </w:r>
      <w:r>
        <w:rPr>
          <w:rFonts w:ascii="Times New Roman" w:hAnsi="Times New Roman" w:cs="Times New Roman"/>
          <w:sz w:val="24"/>
          <w:szCs w:val="24"/>
        </w:rPr>
        <w:t xml:space="preserve"> ve vztahu ke statutům, kdy nově bude postačující statut k jednotlivým </w:t>
      </w:r>
      <w:r>
        <w:rPr>
          <w:rFonts w:ascii="Times New Roman" w:hAnsi="Times New Roman" w:cs="Times New Roman"/>
          <w:sz w:val="24"/>
          <w:szCs w:val="24"/>
        </w:rPr>
        <w:t>podfondům</w:t>
      </w:r>
      <w:r>
        <w:rPr>
          <w:rFonts w:ascii="Times New Roman" w:hAnsi="Times New Roman" w:cs="Times New Roman"/>
          <w:sz w:val="24"/>
          <w:szCs w:val="24"/>
        </w:rPr>
        <w:t xml:space="preserve"> a není nutné vyhotovovat statut ve vztahu k celému fondu. Zachování tzv. časového testu pro </w:t>
      </w:r>
      <w:r>
        <w:rPr>
          <w:rFonts w:ascii="Times New Roman" w:hAnsi="Times New Roman" w:cs="Times New Roman"/>
          <w:sz w:val="24"/>
          <w:szCs w:val="24"/>
        </w:rPr>
        <w:t xml:space="preserve">přechod mezi </w:t>
      </w:r>
      <w:r>
        <w:rPr>
          <w:rFonts w:ascii="Times New Roman" w:hAnsi="Times New Roman" w:cs="Times New Roman"/>
          <w:sz w:val="24"/>
          <w:szCs w:val="24"/>
        </w:rPr>
        <w:t>podfondy</w:t>
      </w:r>
      <w:r>
        <w:rPr>
          <w:rFonts w:ascii="Times New Roman" w:hAnsi="Times New Roman" w:cs="Times New Roman"/>
          <w:sz w:val="24"/>
          <w:szCs w:val="24"/>
        </w:rPr>
        <w:t xml:space="preserve"> jednoho </w:t>
      </w:r>
      <w:r>
        <w:rPr>
          <w:rFonts w:ascii="Times New Roman" w:hAnsi="Times New Roman" w:cs="Times New Roman"/>
          <w:sz w:val="24"/>
          <w:szCs w:val="24"/>
        </w:rPr>
        <w:t>SICAVu</w:t>
      </w:r>
      <w:r>
        <w:rPr>
          <w:rFonts w:ascii="Times New Roman" w:hAnsi="Times New Roman" w:cs="Times New Roman"/>
          <w:sz w:val="24"/>
          <w:szCs w:val="24"/>
        </w:rPr>
        <w:t xml:space="preserve"> bylo zvažováno, nicméně nakonec byly tyto úvahy odloženy. Důvodem byla zejména plánovaná širší diskuse ohledně revize daňových výjimek v rámci koaliční rady</w:t>
      </w:r>
      <w:r w:rsidR="0074635E">
        <w:rPr>
          <w:rFonts w:ascii="Times New Roman" w:hAnsi="Times New Roman" w:cs="Times New Roman"/>
          <w:sz w:val="24"/>
          <w:szCs w:val="24"/>
        </w:rPr>
        <w:t xml:space="preserve">, kdy ale tato diskuse byla odložena z důvodu potřeby řešit prioritně pandemii COVID-19. V současné době je časový test diskutován na půdě Senátu, a to v návaznosti na pozměňovací návrh </w:t>
      </w:r>
      <w:r w:rsidR="00B54255">
        <w:rPr>
          <w:rFonts w:ascii="Times New Roman" w:hAnsi="Times New Roman" w:cs="Times New Roman"/>
          <w:sz w:val="24"/>
          <w:szCs w:val="24"/>
        </w:rPr>
        <w:t xml:space="preserve">poslance </w:t>
      </w:r>
      <w:r w:rsidR="00B54255">
        <w:rPr>
          <w:rFonts w:ascii="Times New Roman" w:hAnsi="Times New Roman" w:cs="Times New Roman"/>
          <w:sz w:val="24"/>
          <w:szCs w:val="24"/>
        </w:rPr>
        <w:t>Ferjenčíka</w:t>
      </w:r>
      <w:r w:rsidR="00B54255">
        <w:rPr>
          <w:rFonts w:ascii="Times New Roman" w:hAnsi="Times New Roman" w:cs="Times New Roman"/>
          <w:sz w:val="24"/>
          <w:szCs w:val="24"/>
        </w:rPr>
        <w:t xml:space="preserve"> </w:t>
      </w:r>
      <w:r w:rsidR="0074635E">
        <w:rPr>
          <w:rFonts w:ascii="Times New Roman" w:hAnsi="Times New Roman" w:cs="Times New Roman"/>
          <w:sz w:val="24"/>
          <w:szCs w:val="24"/>
        </w:rPr>
        <w:t xml:space="preserve">schválený v Poslanecké sněmovně, který </w:t>
      </w:r>
      <w:r w:rsidRPr="00236379" w:rsidR="00236379">
        <w:rPr>
          <w:rFonts w:ascii="Times New Roman" w:hAnsi="Times New Roman" w:cs="Times New Roman"/>
          <w:sz w:val="24"/>
          <w:szCs w:val="24"/>
        </w:rPr>
        <w:t>vyjímá z osvobození od daně příjmy z úplatného převodu cenných papírů přesahující částku</w:t>
      </w:r>
      <w:r w:rsidRPr="00236379" w:rsidR="00236379">
        <w:rPr>
          <w:rFonts w:ascii="Times New Roman" w:hAnsi="Times New Roman" w:cs="Times New Roman"/>
          <w:sz w:val="24"/>
          <w:szCs w:val="24"/>
        </w:rPr>
        <w:t xml:space="preserve"> </w:t>
      </w:r>
      <w:r w:rsidR="00236379">
        <w:rPr>
          <w:rFonts w:ascii="Times New Roman" w:hAnsi="Times New Roman" w:cs="Times New Roman"/>
          <w:sz w:val="24"/>
          <w:szCs w:val="24"/>
        </w:rPr>
        <w:t xml:space="preserve">20 mil. Kč </w:t>
      </w:r>
      <w:r w:rsidR="0074635E">
        <w:rPr>
          <w:rFonts w:ascii="Times New Roman" w:hAnsi="Times New Roman" w:cs="Times New Roman"/>
          <w:sz w:val="24"/>
          <w:szCs w:val="24"/>
        </w:rPr>
        <w:t>(</w:t>
      </w:r>
      <w:r>
        <w:fldChar w:fldCharType="begin"/>
      </w:r>
      <w:r>
        <w:instrText xml:space="preserve"> HYPERLINK "https://www.psp.cz/sqw/historie.sqw?T=910&amp;O=8" </w:instrText>
      </w:r>
      <w:r>
        <w:fldChar w:fldCharType="separate"/>
      </w:r>
      <w:r w:rsidRPr="00B54255" w:rsidR="0074635E">
        <w:rPr>
          <w:rStyle w:val="Hyperlink"/>
          <w:rFonts w:ascii="Times New Roman" w:hAnsi="Times New Roman" w:cs="Times New Roman"/>
          <w:sz w:val="24"/>
          <w:szCs w:val="24"/>
        </w:rPr>
        <w:t>Sněmovní tisk 910</w:t>
      </w:r>
      <w:r>
        <w:fldChar w:fldCharType="end"/>
      </w:r>
      <w:r w:rsidR="00385EA2">
        <w:rPr>
          <w:rStyle w:val="Hyperlink"/>
          <w:rFonts w:ascii="Times New Roman" w:hAnsi="Times New Roman" w:cs="Times New Roman"/>
          <w:color w:val="auto"/>
          <w:sz w:val="24"/>
          <w:szCs w:val="24"/>
          <w:u w:val="none"/>
          <w:vertAlign w:val="superscript"/>
        </w:rPr>
        <w:t>83</w:t>
      </w:r>
      <w:r w:rsidRPr="00F261B8" w:rsidR="00385EA2">
        <w:rPr>
          <w:rStyle w:val="Hyperlink"/>
          <w:rFonts w:ascii="Times New Roman" w:hAnsi="Times New Roman" w:cs="Times New Roman"/>
          <w:color w:val="auto"/>
          <w:sz w:val="24"/>
          <w:szCs w:val="24"/>
          <w:u w:val="none"/>
          <w:vertAlign w:val="superscript"/>
        </w:rPr>
        <w:t>)</w:t>
      </w:r>
      <w:r w:rsidR="0074635E">
        <w:rPr>
          <w:rFonts w:ascii="Times New Roman" w:hAnsi="Times New Roman" w:cs="Times New Roman"/>
          <w:sz w:val="24"/>
          <w:szCs w:val="24"/>
        </w:rPr>
        <w:t xml:space="preserve">, </w:t>
      </w:r>
      <w:r>
        <w:fldChar w:fldCharType="begin"/>
      </w:r>
      <w:r>
        <w:instrText xml:space="preserve"> HYPERLINK "https://www.senat.cz/xqw/xervlet/pssenat/historie?cid=pssenat_historie.pHistorieTisku.list&amp;forEach.action=detail&amp;forEach.value=s4690" </w:instrText>
      </w:r>
      <w:r>
        <w:fldChar w:fldCharType="separate"/>
      </w:r>
      <w:r w:rsidRPr="00B54255" w:rsidR="0074635E">
        <w:rPr>
          <w:rStyle w:val="Hyperlink"/>
          <w:rFonts w:ascii="Times New Roman" w:hAnsi="Times New Roman" w:cs="Times New Roman"/>
          <w:sz w:val="24"/>
          <w:szCs w:val="24"/>
        </w:rPr>
        <w:t>Senátní tisk 11</w:t>
      </w:r>
      <w:r>
        <w:fldChar w:fldCharType="end"/>
      </w:r>
      <w:r w:rsidR="00385EA2">
        <w:rPr>
          <w:rStyle w:val="Hyperlink"/>
          <w:rFonts w:ascii="Times New Roman" w:hAnsi="Times New Roman" w:cs="Times New Roman"/>
          <w:color w:val="auto"/>
          <w:sz w:val="24"/>
          <w:szCs w:val="24"/>
          <w:u w:val="none"/>
          <w:vertAlign w:val="superscript"/>
        </w:rPr>
        <w:t>84</w:t>
      </w:r>
      <w:r w:rsidRPr="00F261B8" w:rsidR="00385EA2">
        <w:rPr>
          <w:rStyle w:val="Hyperlink"/>
          <w:rFonts w:ascii="Times New Roman" w:hAnsi="Times New Roman" w:cs="Times New Roman"/>
          <w:color w:val="auto"/>
          <w:sz w:val="24"/>
          <w:szCs w:val="24"/>
          <w:u w:val="none"/>
          <w:vertAlign w:val="superscript"/>
        </w:rPr>
        <w:t>)</w:t>
      </w:r>
      <w:r w:rsidR="0074635E">
        <w:rPr>
          <w:rFonts w:ascii="Times New Roman" w:hAnsi="Times New Roman" w:cs="Times New Roman"/>
          <w:sz w:val="24"/>
          <w:szCs w:val="24"/>
        </w:rPr>
        <w:t>). Očekávají se</w:t>
      </w:r>
      <w:r w:rsidR="00881600">
        <w:rPr>
          <w:rFonts w:ascii="Times New Roman" w:hAnsi="Times New Roman" w:cs="Times New Roman"/>
          <w:sz w:val="24"/>
          <w:szCs w:val="24"/>
        </w:rPr>
        <w:t xml:space="preserve"> ještě </w:t>
      </w:r>
      <w:r>
        <w:fldChar w:fldCharType="begin"/>
      </w:r>
      <w:r>
        <w:instrText xml:space="preserve"> HYPERLINK "https://ct24.ceskatelevize.cz/ekonomika/3234114-senatori-chteji-z-danoveho-balicku-vyradit-patnactiprocentni-dan-z-prodeje-akcii" </w:instrText>
      </w:r>
      <w:r>
        <w:fldChar w:fldCharType="separate"/>
      </w:r>
      <w:r w:rsidRPr="00881600" w:rsidR="00881600">
        <w:rPr>
          <w:rStyle w:val="Hyperlink"/>
          <w:rFonts w:ascii="Times New Roman" w:hAnsi="Times New Roman" w:cs="Times New Roman"/>
          <w:sz w:val="24"/>
          <w:szCs w:val="24"/>
        </w:rPr>
        <w:t>diskuse</w:t>
      </w:r>
      <w:r>
        <w:fldChar w:fldCharType="end"/>
      </w:r>
      <w:r w:rsidR="00385EA2">
        <w:rPr>
          <w:rStyle w:val="Hyperlink"/>
          <w:rFonts w:ascii="Times New Roman" w:hAnsi="Times New Roman" w:cs="Times New Roman"/>
          <w:color w:val="auto"/>
          <w:sz w:val="24"/>
          <w:szCs w:val="24"/>
          <w:u w:val="none"/>
          <w:vertAlign w:val="superscript"/>
        </w:rPr>
        <w:t>85</w:t>
      </w:r>
      <w:r w:rsidRPr="00F261B8" w:rsidR="00385EA2">
        <w:rPr>
          <w:rStyle w:val="Hyperlink"/>
          <w:rFonts w:ascii="Times New Roman" w:hAnsi="Times New Roman" w:cs="Times New Roman"/>
          <w:color w:val="auto"/>
          <w:sz w:val="24"/>
          <w:szCs w:val="24"/>
          <w:u w:val="none"/>
          <w:vertAlign w:val="superscript"/>
        </w:rPr>
        <w:t>)</w:t>
      </w:r>
      <w:r w:rsidR="00881600">
        <w:rPr>
          <w:rFonts w:ascii="Times New Roman" w:hAnsi="Times New Roman" w:cs="Times New Roman"/>
          <w:sz w:val="24"/>
          <w:szCs w:val="24"/>
        </w:rPr>
        <w:t xml:space="preserve"> o tomto tématu, kdy výbor Senátu navrhuje předmětný novelizační bod vypustit a vrátit novelu do Poslanecké sněmovny s pozměňovacími návrhy.</w:t>
      </w:r>
    </w:p>
    <w:p w:rsidR="00881600" w:rsidRPr="00B54255" w:rsidP="00867155">
      <w:pPr>
        <w:spacing w:before="120" w:after="120" w:line="240" w:lineRule="auto"/>
        <w:jc w:val="center"/>
        <w:rPr>
          <w:rFonts w:ascii="Times New Roman" w:hAnsi="Times New Roman" w:cs="Times New Roman"/>
          <w:b/>
          <w:i/>
          <w:sz w:val="24"/>
          <w:szCs w:val="24"/>
        </w:rPr>
      </w:pPr>
      <w:r w:rsidRPr="00B54255">
        <w:rPr>
          <w:rFonts w:ascii="Times New Roman" w:hAnsi="Times New Roman" w:cs="Times New Roman"/>
          <w:b/>
          <w:i/>
          <w:sz w:val="24"/>
          <w:szCs w:val="24"/>
        </w:rPr>
        <w:t>17) Podpora využití formátu XML při vyžadování informací od finančních institucí (zejména v rámci exekucí)</w:t>
      </w:r>
    </w:p>
    <w:tbl>
      <w:tblPr>
        <w:tblStyle w:val="Mkatabulky5"/>
        <w:tblW w:w="0" w:type="auto"/>
        <w:shd w:val="solid" w:color="auto" w:fill="auto"/>
        <w:tblLook w:val="04A0"/>
      </w:tblPr>
      <w:tblGrid>
        <w:gridCol w:w="5270"/>
        <w:gridCol w:w="2662"/>
        <w:gridCol w:w="1130"/>
      </w:tblGrid>
      <w:tr w:rsidTr="00B54255">
        <w:tblPrEx>
          <w:tblW w:w="0" w:type="auto"/>
          <w:shd w:val="solid" w:color="auto" w:fill="auto"/>
          <w:tblLook w:val="04A0"/>
        </w:tblPrEx>
        <w:tc>
          <w:tcPr>
            <w:tcW w:w="5270"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62"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0"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0" w:type="auto"/>
          <w:shd w:val="solid" w:color="auto" w:fill="auto"/>
          <w:tblLook w:val="04A0"/>
        </w:tblPrEx>
        <w:tc>
          <w:tcPr>
            <w:tcW w:w="5270"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Podpořit využívání XML formátu při dohledávání finančního majetku</w:t>
            </w:r>
          </w:p>
        </w:tc>
        <w:tc>
          <w:tcPr>
            <w:tcW w:w="2662"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 xml:space="preserve">MF, </w:t>
            </w:r>
            <w:r w:rsidRPr="00867155">
              <w:rPr>
                <w:rFonts w:ascii="Times New Roman" w:hAnsi="Times New Roman" w:cs="Times New Roman"/>
                <w:sz w:val="20"/>
                <w:szCs w:val="20"/>
              </w:rPr>
              <w:t>MSp</w:t>
            </w:r>
            <w:r w:rsidRPr="00867155">
              <w:rPr>
                <w:rFonts w:ascii="Times New Roman" w:hAnsi="Times New Roman" w:cs="Times New Roman"/>
                <w:sz w:val="20"/>
                <w:szCs w:val="20"/>
              </w:rPr>
              <w:t>, GFŘ, Komora exekutorů, CDCP, Notářská komora</w:t>
            </w:r>
          </w:p>
        </w:tc>
        <w:tc>
          <w:tcPr>
            <w:tcW w:w="1130"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5F45F5"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Koncepční novela zavádí povinnost, aby exekutoři žádali informace od finančních institucí prostřednictvím formátu XML</w:t>
      </w:r>
      <w:r w:rsidR="00AC5D4E">
        <w:rPr>
          <w:rFonts w:ascii="Times New Roman" w:hAnsi="Times New Roman" w:cs="Times New Roman"/>
          <w:sz w:val="24"/>
          <w:szCs w:val="24"/>
        </w:rPr>
        <w:t>, který umožňuje strojové zpracování</w:t>
      </w:r>
      <w:r>
        <w:rPr>
          <w:rFonts w:ascii="Times New Roman" w:hAnsi="Times New Roman" w:cs="Times New Roman"/>
          <w:sz w:val="24"/>
          <w:szCs w:val="24"/>
        </w:rPr>
        <w:t xml:space="preserve">. Ve vztahu k tomuto opatření se navrhuje účinnost o 12 měsíců později, aby měli všichni aktéři dostatek času se novému požadavku přizpůsobit. Probíhají i další analýzy ve vztahu k jiným subjektům, které od finančních institucí vyžadují informace, zejména ve vztahu k notářům a finančním úřadům. Lze očekávat, že řešení, které se podaří nalézt ve vztahu k exekutorům, bude v zásadě aplikovatelné i na jiné dotčené subjekty. Protože ale exekutoři patří k nejčastějším žadatelům o informace, jeví se jako vhodné nalézt shodu primárně vůči nim. Například menší finanční instituce </w:t>
      </w:r>
      <w:r w:rsidR="00AC5D4E">
        <w:rPr>
          <w:rFonts w:ascii="Times New Roman" w:hAnsi="Times New Roman" w:cs="Times New Roman"/>
          <w:sz w:val="24"/>
          <w:szCs w:val="24"/>
        </w:rPr>
        <w:t>vznášejí připomínky, že vyřizování žádostí v XML bude pro ně nákladnější než stávající vyřizování člověkem. Obecně lze ale očekávat, že zavedení povinného XML formátu bude znamenat snížení nákladů na vyřizování těchto žádostí.</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18) Analýza možností úpravy evidence investičních nástrojů</w:t>
      </w:r>
    </w:p>
    <w:tbl>
      <w:tblPr>
        <w:tblStyle w:val="Mkatabulky3"/>
        <w:tblW w:w="0" w:type="auto"/>
        <w:shd w:val="solid" w:color="auto" w:fill="auto"/>
        <w:tblLayout w:type="fixed"/>
        <w:tblLook w:val="04A0"/>
      </w:tblPr>
      <w:tblGrid>
        <w:gridCol w:w="5353"/>
        <w:gridCol w:w="2693"/>
        <w:gridCol w:w="1134"/>
      </w:tblGrid>
      <w:tr w:rsidTr="002D7C06">
        <w:tblPrEx>
          <w:tblW w:w="0" w:type="auto"/>
          <w:shd w:val="solid" w:color="auto" w:fill="auto"/>
          <w:tblLayout w:type="fixed"/>
          <w:tblLook w:val="04A0"/>
        </w:tblPrEx>
        <w:tc>
          <w:tcPr>
            <w:tcW w:w="5353" w:type="dxa"/>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PLÁN</w:t>
            </w:r>
          </w:p>
        </w:tc>
        <w:tc>
          <w:tcPr>
            <w:tcW w:w="2693" w:type="dxa"/>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DOTČENÉ SUBJEKTY</w:t>
            </w:r>
          </w:p>
        </w:tc>
        <w:tc>
          <w:tcPr>
            <w:tcW w:w="1134" w:type="dxa"/>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TERMÍN</w:t>
            </w:r>
          </w:p>
        </w:tc>
      </w:tr>
      <w:tr w:rsidTr="002D7C06">
        <w:tblPrEx>
          <w:tblW w:w="0" w:type="auto"/>
          <w:shd w:val="solid" w:color="auto" w:fill="auto"/>
          <w:tblLayout w:type="fixed"/>
          <w:tblLook w:val="04A0"/>
        </w:tblPrEx>
        <w:tc>
          <w:tcPr>
            <w:tcW w:w="5353"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Zvážit úpravu systému držení cenných papírů, včetně vícestupňové evidence a využití technologie DLT k evidenci cenných papírů, v rámci diskuse se zainteresovanými subjekty (</w:t>
            </w:r>
            <w:r w:rsidRPr="00867155">
              <w:rPr>
                <w:rFonts w:ascii="Times New Roman" w:hAnsi="Times New Roman" w:cs="Times New Roman"/>
                <w:i/>
                <w:sz w:val="20"/>
                <w:szCs w:val="20"/>
              </w:rPr>
              <w:t>stakeholdery</w:t>
            </w:r>
            <w:r w:rsidRPr="00867155">
              <w:rPr>
                <w:rFonts w:ascii="Times New Roman" w:hAnsi="Times New Roman" w:cs="Times New Roman"/>
                <w:sz w:val="20"/>
                <w:szCs w:val="20"/>
              </w:rPr>
              <w:t>) a navrhnout další opatření</w:t>
            </w:r>
          </w:p>
        </w:tc>
        <w:tc>
          <w:tcPr>
            <w:tcW w:w="2693"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 xml:space="preserve">MF, </w:t>
            </w:r>
            <w:r w:rsidRPr="00867155">
              <w:rPr>
                <w:rFonts w:ascii="Times New Roman" w:hAnsi="Times New Roman" w:cs="Times New Roman"/>
                <w:sz w:val="20"/>
                <w:szCs w:val="20"/>
              </w:rPr>
              <w:t>MSp</w:t>
            </w:r>
            <w:r w:rsidRPr="00867155">
              <w:rPr>
                <w:rFonts w:ascii="Times New Roman" w:hAnsi="Times New Roman" w:cs="Times New Roman"/>
                <w:sz w:val="20"/>
                <w:szCs w:val="20"/>
              </w:rPr>
              <w:t>, MPO</w:t>
            </w:r>
          </w:p>
        </w:tc>
        <w:tc>
          <w:tcPr>
            <w:tcW w:w="1134"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Q4 2020</w:t>
            </w:r>
          </w:p>
        </w:tc>
      </w:tr>
    </w:tbl>
    <w:p w:rsidR="00B54255" w:rsidRPr="00A24E74" w:rsidP="00867155">
      <w:pPr>
        <w:spacing w:before="120" w:after="120" w:line="240" w:lineRule="auto"/>
        <w:jc w:val="both"/>
        <w:rPr>
          <w:rFonts w:ascii="Times New Roman" w:hAnsi="Times New Roman" w:cs="Times New Roman"/>
          <w:sz w:val="24"/>
          <w:szCs w:val="24"/>
        </w:rPr>
      </w:pPr>
      <w:r w:rsidRPr="00A24E74">
        <w:rPr>
          <w:rFonts w:ascii="Times New Roman" w:hAnsi="Times New Roman" w:cs="Times New Roman"/>
          <w:sz w:val="24"/>
          <w:szCs w:val="24"/>
        </w:rPr>
        <w:t xml:space="preserve">Ve vztahu k úpravě systému držení cenných papírů byly v roce 2020 publikovány návrhy předpisů EU, které se tomuto tématu věnují a které jsou aktuálně vyjednávány. Z tohoto hlediska se jeví jako vhodné se aktivně zapojovat do vyjednávání těchto předpisů a v tuto chvíli nepřipravovat žádné změny na národní úrovni. V letech 2019 a 2020 byla zvažována a diskutována možnost, zda by bylo možno využít technologie DLT </w:t>
      </w:r>
      <w:r w:rsidR="00A24E74">
        <w:rPr>
          <w:rFonts w:ascii="Times New Roman" w:hAnsi="Times New Roman" w:cs="Times New Roman"/>
          <w:sz w:val="24"/>
          <w:szCs w:val="24"/>
        </w:rPr>
        <w:t xml:space="preserve">(tzv. </w:t>
      </w:r>
      <w:r w:rsidR="00A24E74">
        <w:rPr>
          <w:rFonts w:ascii="Times New Roman" w:hAnsi="Times New Roman" w:cs="Times New Roman"/>
          <w:sz w:val="24"/>
          <w:szCs w:val="24"/>
        </w:rPr>
        <w:t>blockchain</w:t>
      </w:r>
      <w:r w:rsidR="00A24E74">
        <w:rPr>
          <w:rFonts w:ascii="Times New Roman" w:hAnsi="Times New Roman" w:cs="Times New Roman"/>
          <w:sz w:val="24"/>
          <w:szCs w:val="24"/>
        </w:rPr>
        <w:t xml:space="preserve">) </w:t>
      </w:r>
      <w:r w:rsidRPr="00A24E74">
        <w:rPr>
          <w:rFonts w:ascii="Times New Roman" w:hAnsi="Times New Roman" w:cs="Times New Roman"/>
          <w:sz w:val="24"/>
          <w:szCs w:val="24"/>
        </w:rPr>
        <w:t>pro</w:t>
      </w:r>
      <w:r w:rsidR="00C5462E">
        <w:rPr>
          <w:rFonts w:ascii="Times New Roman" w:hAnsi="Times New Roman" w:cs="Times New Roman"/>
          <w:sz w:val="24"/>
          <w:szCs w:val="24"/>
        </w:rPr>
        <w:t> </w:t>
      </w:r>
      <w:r w:rsidRPr="00A24E74">
        <w:rPr>
          <w:rFonts w:ascii="Times New Roman" w:hAnsi="Times New Roman" w:cs="Times New Roman"/>
          <w:sz w:val="24"/>
          <w:szCs w:val="24"/>
        </w:rPr>
        <w:t xml:space="preserve">distribuci státních dluhopisů určených pro občany. </w:t>
      </w:r>
      <w:r w:rsidRPr="00A24E74" w:rsidR="00A24E74">
        <w:rPr>
          <w:rFonts w:ascii="Times New Roman" w:hAnsi="Times New Roman" w:cs="Times New Roman"/>
          <w:sz w:val="24"/>
          <w:szCs w:val="24"/>
        </w:rPr>
        <w:t>V budoucnu lze očekávat další diskuse na toto téma, včetně případných diskusí ohledně vícestupňové evidence. Tyto diskuse na</w:t>
      </w:r>
      <w:r w:rsidR="00C5462E">
        <w:rPr>
          <w:rFonts w:ascii="Times New Roman" w:hAnsi="Times New Roman" w:cs="Times New Roman"/>
          <w:sz w:val="24"/>
          <w:szCs w:val="24"/>
        </w:rPr>
        <w:t> </w:t>
      </w:r>
      <w:r w:rsidRPr="00A24E74" w:rsidR="00A24E74">
        <w:rPr>
          <w:rFonts w:ascii="Times New Roman" w:hAnsi="Times New Roman" w:cs="Times New Roman"/>
          <w:sz w:val="24"/>
          <w:szCs w:val="24"/>
        </w:rPr>
        <w:t>národní úrovni musí současně brát v potaz snahy o případnou harmonizaci této oblasti právem EU.</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19) Podpora obchodování s korporátními dluhopisy</w:t>
      </w:r>
    </w:p>
    <w:tbl>
      <w:tblPr>
        <w:tblStyle w:val="Mkatabulky4"/>
        <w:tblW w:w="0" w:type="auto"/>
        <w:shd w:val="solid" w:color="auto" w:fill="auto"/>
        <w:tblLook w:val="04A0"/>
      </w:tblPr>
      <w:tblGrid>
        <w:gridCol w:w="5282"/>
        <w:gridCol w:w="2664"/>
        <w:gridCol w:w="1116"/>
      </w:tblGrid>
      <w:tr w:rsidTr="00B54255">
        <w:tblPrEx>
          <w:tblW w:w="0" w:type="auto"/>
          <w:shd w:val="solid" w:color="auto" w:fill="auto"/>
          <w:tblLook w:val="04A0"/>
        </w:tblPrEx>
        <w:trPr>
          <w:trHeight w:val="360"/>
        </w:trPr>
        <w:tc>
          <w:tcPr>
            <w:tcW w:w="5282" w:type="dxa"/>
            <w:tcBorders>
              <w:bottom w:val="single" w:sz="4" w:space="0" w:color="auto"/>
            </w:tcBorders>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PLÁN</w:t>
            </w:r>
          </w:p>
        </w:tc>
        <w:tc>
          <w:tcPr>
            <w:tcW w:w="2664" w:type="dxa"/>
            <w:tcBorders>
              <w:bottom w:val="single" w:sz="4" w:space="0" w:color="auto"/>
            </w:tcBorders>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DOTČENÉ SUBJEKTY</w:t>
            </w:r>
          </w:p>
        </w:tc>
        <w:tc>
          <w:tcPr>
            <w:tcW w:w="1116" w:type="dxa"/>
            <w:tcBorders>
              <w:bottom w:val="single" w:sz="4" w:space="0" w:color="auto"/>
            </w:tcBorders>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TERMÍN</w:t>
            </w:r>
          </w:p>
        </w:tc>
      </w:tr>
      <w:tr w:rsidTr="00B54255">
        <w:tblPrEx>
          <w:tblW w:w="0" w:type="auto"/>
          <w:shd w:val="solid" w:color="auto" w:fill="auto"/>
          <w:tblLook w:val="04A0"/>
        </w:tblPrEx>
        <w:trPr>
          <w:trHeight w:val="85"/>
        </w:trPr>
        <w:tc>
          <w:tcPr>
            <w:tcW w:w="5282" w:type="dxa"/>
            <w:tcBorders>
              <w:bottom w:val="single" w:sz="4" w:space="0" w:color="auto"/>
            </w:tcBorders>
            <w:shd w:val="clear" w:color="auto" w:fill="auto"/>
          </w:tcPr>
          <w:p w:rsidR="00B54255" w:rsidRPr="00867155" w:rsidP="002D7C06">
            <w:pPr>
              <w:spacing w:after="80"/>
              <w:rPr>
                <w:rFonts w:ascii="Times New Roman" w:hAnsi="Times New Roman" w:cs="Times New Roman"/>
                <w:sz w:val="20"/>
                <w:szCs w:val="20"/>
              </w:rPr>
            </w:pPr>
            <w:r w:rsidRPr="00867155">
              <w:rPr>
                <w:rFonts w:ascii="Times New Roman" w:hAnsi="Times New Roman" w:cs="Times New Roman"/>
                <w:sz w:val="20"/>
                <w:szCs w:val="20"/>
              </w:rPr>
              <w:t>Zvážit možnosti, jak podpořit obchodování s korporátními dluhopisy</w:t>
            </w:r>
          </w:p>
        </w:tc>
        <w:tc>
          <w:tcPr>
            <w:tcW w:w="2664" w:type="dxa"/>
            <w:tcBorders>
              <w:bottom w:val="single" w:sz="4" w:space="0" w:color="auto"/>
            </w:tcBorders>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ČNB, CDCP, BCPP, AKAT, ČBA</w:t>
            </w:r>
          </w:p>
        </w:tc>
        <w:tc>
          <w:tcPr>
            <w:tcW w:w="1116" w:type="dxa"/>
            <w:tcBorders>
              <w:bottom w:val="single" w:sz="4" w:space="0" w:color="auto"/>
            </w:tcBorders>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Q4 2019</w:t>
            </w:r>
          </w:p>
        </w:tc>
      </w:tr>
    </w:tbl>
    <w:p w:rsidR="00A24E74"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Ve vztahu ke korporátním dluhopisům se MF zaměřilo primárně na tvorbu </w:t>
      </w:r>
      <w:r>
        <w:fldChar w:fldCharType="begin"/>
      </w:r>
      <w:r>
        <w:instrText xml:space="preserve"> HYPERLINK "https://www.mfcr.cz/cs/soukromy-sektor/kapitalovy-trh/podnikani-na-kapitalovem-trhu/2020/verejna-konzultace--scorecard-korporatni-37189" </w:instrText>
      </w:r>
      <w:r>
        <w:fldChar w:fldCharType="separate"/>
      </w:r>
      <w:r w:rsidRPr="00F55C23">
        <w:rPr>
          <w:rStyle w:val="Hyperlink"/>
          <w:rFonts w:ascii="Times New Roman" w:hAnsi="Times New Roman" w:cs="Times New Roman"/>
          <w:sz w:val="24"/>
          <w:szCs w:val="24"/>
        </w:rPr>
        <w:t>Scorecardu</w:t>
      </w:r>
      <w:r w:rsidRPr="00F55C23">
        <w:rPr>
          <w:rStyle w:val="Hyperlink"/>
          <w:rFonts w:ascii="Times New Roman" w:hAnsi="Times New Roman" w:cs="Times New Roman"/>
          <w:sz w:val="24"/>
          <w:szCs w:val="24"/>
        </w:rPr>
        <w:t xml:space="preserve"> korporátních dluhopisů 2.0</w:t>
      </w:r>
      <w:r>
        <w:fldChar w:fldCharType="end"/>
      </w:r>
      <w:r w:rsidR="00385EA2">
        <w:rPr>
          <w:rStyle w:val="Hyperlink"/>
          <w:rFonts w:ascii="Times New Roman" w:hAnsi="Times New Roman" w:cs="Times New Roman"/>
          <w:color w:val="auto"/>
          <w:sz w:val="24"/>
          <w:szCs w:val="24"/>
          <w:u w:val="none"/>
          <w:vertAlign w:val="superscript"/>
        </w:rPr>
        <w:t>86</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w:t>
      </w:r>
      <w:r w:rsidR="006020EF">
        <w:rPr>
          <w:rFonts w:ascii="Times New Roman" w:hAnsi="Times New Roman" w:cs="Times New Roman"/>
          <w:sz w:val="24"/>
          <w:szCs w:val="24"/>
        </w:rPr>
        <w:t xml:space="preserve"> Tento </w:t>
      </w:r>
      <w:r w:rsidR="006020EF">
        <w:rPr>
          <w:rFonts w:ascii="Times New Roman" w:hAnsi="Times New Roman" w:cs="Times New Roman"/>
          <w:sz w:val="24"/>
          <w:szCs w:val="24"/>
        </w:rPr>
        <w:t>Scorecard</w:t>
      </w:r>
      <w:r w:rsidR="006020EF">
        <w:rPr>
          <w:rFonts w:ascii="Times New Roman" w:hAnsi="Times New Roman" w:cs="Times New Roman"/>
          <w:sz w:val="24"/>
          <w:szCs w:val="24"/>
        </w:rPr>
        <w:t xml:space="preserve"> získal mediální pozornost</w:t>
      </w:r>
      <w:r w:rsidR="006A7FB1">
        <w:rPr>
          <w:rFonts w:ascii="Times New Roman" w:hAnsi="Times New Roman" w:cs="Times New Roman"/>
          <w:sz w:val="24"/>
          <w:szCs w:val="24"/>
        </w:rPr>
        <w:t xml:space="preserve"> </w:t>
      </w:r>
      <w:r w:rsidR="00F55C23">
        <w:rPr>
          <w:rFonts w:ascii="Times New Roman" w:hAnsi="Times New Roman" w:cs="Times New Roman"/>
          <w:sz w:val="24"/>
          <w:szCs w:val="24"/>
        </w:rPr>
        <w:t xml:space="preserve">(např. </w:t>
      </w:r>
      <w:r>
        <w:fldChar w:fldCharType="begin"/>
      </w:r>
      <w:r>
        <w:instrText xml:space="preserve"> HYPERLINK "https://www.idnes.cz/finance/investovani/investice-dluhopisy-korporatni-dluhopisy-firemni-dluhopisy-emitent-riziko-rating-investor-scorecard.A200304_193109_inv_daja" </w:instrText>
      </w:r>
      <w:r>
        <w:fldChar w:fldCharType="separate"/>
      </w:r>
      <w:r w:rsidRPr="00F55C23" w:rsidR="00F55C23">
        <w:rPr>
          <w:rStyle w:val="Hyperlink"/>
          <w:rFonts w:ascii="Times New Roman" w:hAnsi="Times New Roman" w:cs="Times New Roman"/>
          <w:sz w:val="24"/>
          <w:szCs w:val="24"/>
        </w:rPr>
        <w:t>zde</w:t>
      </w:r>
      <w:r>
        <w:fldChar w:fldCharType="end"/>
      </w:r>
      <w:r w:rsidR="00385EA2">
        <w:rPr>
          <w:rStyle w:val="Hyperlink"/>
          <w:rFonts w:ascii="Times New Roman" w:hAnsi="Times New Roman" w:cs="Times New Roman"/>
          <w:color w:val="auto"/>
          <w:sz w:val="24"/>
          <w:szCs w:val="24"/>
          <w:u w:val="none"/>
          <w:vertAlign w:val="superscript"/>
        </w:rPr>
        <w:t>87</w:t>
      </w:r>
      <w:r w:rsidRPr="00F261B8" w:rsidR="00385EA2">
        <w:rPr>
          <w:rStyle w:val="Hyperlink"/>
          <w:rFonts w:ascii="Times New Roman" w:hAnsi="Times New Roman" w:cs="Times New Roman"/>
          <w:color w:val="auto"/>
          <w:sz w:val="24"/>
          <w:szCs w:val="24"/>
          <w:u w:val="none"/>
          <w:vertAlign w:val="superscript"/>
        </w:rPr>
        <w:t>)</w:t>
      </w:r>
      <w:r w:rsidR="00F55C23">
        <w:rPr>
          <w:rFonts w:ascii="Times New Roman" w:hAnsi="Times New Roman" w:cs="Times New Roman"/>
          <w:sz w:val="24"/>
          <w:szCs w:val="24"/>
        </w:rPr>
        <w:t xml:space="preserve">) </w:t>
      </w:r>
      <w:r w:rsidR="006020EF">
        <w:rPr>
          <w:rFonts w:ascii="Times New Roman" w:hAnsi="Times New Roman" w:cs="Times New Roman"/>
          <w:sz w:val="24"/>
          <w:szCs w:val="24"/>
        </w:rPr>
        <w:t xml:space="preserve">a </w:t>
      </w:r>
      <w:r w:rsidR="00F55C23">
        <w:rPr>
          <w:rFonts w:ascii="Times New Roman" w:hAnsi="Times New Roman" w:cs="Times New Roman"/>
          <w:sz w:val="24"/>
          <w:szCs w:val="24"/>
        </w:rPr>
        <w:t xml:space="preserve">byl </w:t>
      </w:r>
      <w:r w:rsidR="00F55C23">
        <w:rPr>
          <w:rFonts w:ascii="Times New Roman" w:hAnsi="Times New Roman" w:cs="Times New Roman"/>
          <w:sz w:val="24"/>
          <w:szCs w:val="24"/>
        </w:rPr>
        <w:t xml:space="preserve">využit i </w:t>
      </w:r>
      <w:r w:rsidR="006020EF">
        <w:rPr>
          <w:rFonts w:ascii="Times New Roman" w:hAnsi="Times New Roman" w:cs="Times New Roman"/>
          <w:sz w:val="24"/>
          <w:szCs w:val="24"/>
        </w:rPr>
        <w:t xml:space="preserve">v rámci </w:t>
      </w:r>
      <w:r>
        <w:fldChar w:fldCharType="begin"/>
      </w:r>
      <w:r>
        <w:instrText xml:space="preserve"> HYPERLINK "https://vskp.vse.cz/81467_vyhodnoceni_trhu_skorporatnimi_dluhopisy_vcr_pomoci_scorecard_20" </w:instrText>
      </w:r>
      <w:r>
        <w:fldChar w:fldCharType="separate"/>
      </w:r>
      <w:r w:rsidRPr="006A7FB1" w:rsidR="006020EF">
        <w:rPr>
          <w:rStyle w:val="Hyperlink"/>
          <w:rFonts w:ascii="Times New Roman" w:hAnsi="Times New Roman" w:cs="Times New Roman"/>
          <w:sz w:val="24"/>
          <w:szCs w:val="24"/>
        </w:rPr>
        <w:t>diplomové práce</w:t>
      </w:r>
      <w:r>
        <w:fldChar w:fldCharType="end"/>
      </w:r>
      <w:r w:rsidR="00385EA2">
        <w:rPr>
          <w:rStyle w:val="Hyperlink"/>
          <w:rFonts w:ascii="Times New Roman" w:hAnsi="Times New Roman" w:cs="Times New Roman"/>
          <w:color w:val="auto"/>
          <w:sz w:val="24"/>
          <w:szCs w:val="24"/>
          <w:u w:val="none"/>
          <w:vertAlign w:val="superscript"/>
        </w:rPr>
        <w:t>88</w:t>
      </w:r>
      <w:r w:rsidRPr="00F261B8" w:rsidR="00385EA2">
        <w:rPr>
          <w:rStyle w:val="Hyperlink"/>
          <w:rFonts w:ascii="Times New Roman" w:hAnsi="Times New Roman" w:cs="Times New Roman"/>
          <w:color w:val="auto"/>
          <w:sz w:val="24"/>
          <w:szCs w:val="24"/>
          <w:u w:val="none"/>
          <w:vertAlign w:val="superscript"/>
        </w:rPr>
        <w:t>)</w:t>
      </w:r>
      <w:r w:rsidR="006020EF">
        <w:rPr>
          <w:rFonts w:ascii="Times New Roman" w:hAnsi="Times New Roman" w:cs="Times New Roman"/>
          <w:sz w:val="24"/>
          <w:szCs w:val="24"/>
        </w:rPr>
        <w:t xml:space="preserve"> na VŠE</w:t>
      </w:r>
      <w:r w:rsidR="00F55C23">
        <w:rPr>
          <w:rFonts w:ascii="Times New Roman" w:hAnsi="Times New Roman" w:cs="Times New Roman"/>
          <w:sz w:val="24"/>
          <w:szCs w:val="24"/>
        </w:rPr>
        <w:t>, kdy</w:t>
      </w:r>
      <w:r w:rsidR="006020EF">
        <w:rPr>
          <w:rFonts w:ascii="Times New Roman" w:hAnsi="Times New Roman" w:cs="Times New Roman"/>
          <w:sz w:val="24"/>
          <w:szCs w:val="24"/>
        </w:rPr>
        <w:t xml:space="preserve"> byl aplikován na 594 </w:t>
      </w:r>
      <w:r w:rsidR="00F55C23">
        <w:rPr>
          <w:rFonts w:ascii="Times New Roman" w:hAnsi="Times New Roman" w:cs="Times New Roman"/>
          <w:sz w:val="24"/>
          <w:szCs w:val="24"/>
        </w:rPr>
        <w:t xml:space="preserve">českých </w:t>
      </w:r>
      <w:r w:rsidR="006020EF">
        <w:rPr>
          <w:rFonts w:ascii="Times New Roman" w:hAnsi="Times New Roman" w:cs="Times New Roman"/>
          <w:sz w:val="24"/>
          <w:szCs w:val="24"/>
        </w:rPr>
        <w:t xml:space="preserve">emisí </w:t>
      </w:r>
      <w:r w:rsidR="006A7FB1">
        <w:rPr>
          <w:rFonts w:ascii="Times New Roman" w:hAnsi="Times New Roman" w:cs="Times New Roman"/>
          <w:sz w:val="24"/>
          <w:szCs w:val="24"/>
        </w:rPr>
        <w:t xml:space="preserve">od roku 2017 do poloviny roku 2020. </w:t>
      </w:r>
      <w:r>
        <w:rPr>
          <w:rFonts w:ascii="Times New Roman" w:hAnsi="Times New Roman" w:cs="Times New Roman"/>
          <w:sz w:val="24"/>
          <w:szCs w:val="24"/>
        </w:rPr>
        <w:t xml:space="preserve">Také byla v </w:t>
      </w:r>
      <w:r w:rsidR="006A7FB1">
        <w:rPr>
          <w:rFonts w:ascii="Times New Roman" w:hAnsi="Times New Roman" w:cs="Times New Roman"/>
          <w:sz w:val="24"/>
          <w:szCs w:val="24"/>
        </w:rPr>
        <w:t>květnu</w:t>
      </w:r>
      <w:r>
        <w:rPr>
          <w:rFonts w:ascii="Times New Roman" w:hAnsi="Times New Roman" w:cs="Times New Roman"/>
          <w:sz w:val="24"/>
          <w:szCs w:val="24"/>
        </w:rPr>
        <w:t xml:space="preserve"> 2020 zavedena povinnost, aby všechny dluhopisy vydávané podle českého práva měly přiděleny ISIN, a to z důvodu zajištění větší </w:t>
      </w:r>
      <w:r>
        <w:fldChar w:fldCharType="begin"/>
      </w:r>
      <w:r>
        <w:instrText xml:space="preserve"> HYPERLINK "https://www.cdcp.cz/index.php/cz/popis-bezplatnych-sluzeb/seznam-emisi" </w:instrText>
      </w:r>
      <w:r>
        <w:fldChar w:fldCharType="separate"/>
      </w:r>
      <w:r w:rsidRPr="00F55C23">
        <w:rPr>
          <w:rStyle w:val="Hyperlink"/>
          <w:rFonts w:ascii="Times New Roman" w:hAnsi="Times New Roman" w:cs="Times New Roman"/>
          <w:sz w:val="24"/>
          <w:szCs w:val="24"/>
        </w:rPr>
        <w:t>transparentnosti</w:t>
      </w:r>
      <w:r>
        <w:fldChar w:fldCharType="end"/>
      </w:r>
      <w:r w:rsidR="00385EA2">
        <w:rPr>
          <w:rStyle w:val="Hyperlink"/>
          <w:rFonts w:ascii="Times New Roman" w:hAnsi="Times New Roman" w:cs="Times New Roman"/>
          <w:color w:val="auto"/>
          <w:sz w:val="24"/>
          <w:szCs w:val="24"/>
          <w:u w:val="none"/>
          <w:vertAlign w:val="superscript"/>
        </w:rPr>
        <w:t>89</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tohoto trhu. Současně při přidělování ISIN probíhají kontroly proti praní špinavých peněz, což má pozitivní vliv na kvalitu emitentů. Český trh s korporátními dluhopisy byl v letech 2019 a 2020 poznamenán selháním emitenta </w:t>
      </w:r>
      <w:r>
        <w:fldChar w:fldCharType="begin"/>
      </w:r>
      <w:r>
        <w:instrText xml:space="preserve"> HYPERLINK "https://www.euro.cz/byznys/investori-do-dluhopisu-zootu-prijdou-o-stamiliony-prednost-dostanou-veritele-v-lepsi-pozici-1443311" </w:instrText>
      </w:r>
      <w:r>
        <w:fldChar w:fldCharType="separate"/>
      </w:r>
      <w:r w:rsidRPr="006020EF">
        <w:rPr>
          <w:rStyle w:val="Hyperlink"/>
          <w:rFonts w:ascii="Times New Roman" w:hAnsi="Times New Roman" w:cs="Times New Roman"/>
          <w:sz w:val="24"/>
          <w:szCs w:val="24"/>
        </w:rPr>
        <w:t>ZOOT</w:t>
      </w:r>
      <w:r>
        <w:fldChar w:fldCharType="end"/>
      </w:r>
      <w:r w:rsidR="00385EA2">
        <w:rPr>
          <w:rStyle w:val="Hyperlink"/>
          <w:rFonts w:ascii="Times New Roman" w:hAnsi="Times New Roman" w:cs="Times New Roman"/>
          <w:color w:val="auto"/>
          <w:sz w:val="24"/>
          <w:szCs w:val="24"/>
          <w:u w:val="none"/>
          <w:vertAlign w:val="superscript"/>
        </w:rPr>
        <w:t>90</w:t>
      </w:r>
      <w:r w:rsidRPr="00F261B8" w:rsidR="00385EA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například ale pandemie COVID-19 neměla na tento trh zatím významný vliv (do budoucna lze ale v souvislosti s ní očekávat další selhání emitentů, a to nejen v ČR). </w:t>
      </w:r>
      <w:r w:rsidR="00DD732B">
        <w:rPr>
          <w:rFonts w:ascii="Times New Roman" w:hAnsi="Times New Roman" w:cs="Times New Roman"/>
          <w:sz w:val="24"/>
          <w:szCs w:val="24"/>
        </w:rPr>
        <w:t xml:space="preserve">ČNB publikovala v březnu 2019 ve vztahu ke korporátním dluhopisům </w:t>
      </w:r>
      <w:r>
        <w:fldChar w:fldCharType="begin"/>
      </w:r>
      <w:r>
        <w:instrText xml:space="preserve"> HYPERLINK "https://www.cnb.cz/export/sites/cnb/cs/dohled-financni-trh/.galleries/vykon_dohledu/dohledove_benchmarky/download/dohledovy_benchmark_2019_02.pdf" </w:instrText>
      </w:r>
      <w:r>
        <w:fldChar w:fldCharType="separate"/>
      </w:r>
      <w:r w:rsidRPr="006020EF" w:rsidR="00DD732B">
        <w:rPr>
          <w:rStyle w:val="Hyperlink"/>
          <w:rFonts w:ascii="Times New Roman" w:hAnsi="Times New Roman" w:cs="Times New Roman"/>
          <w:sz w:val="24"/>
          <w:szCs w:val="24"/>
        </w:rPr>
        <w:t>dohledový benchmark</w:t>
      </w:r>
      <w:r>
        <w:fldChar w:fldCharType="end"/>
      </w:r>
      <w:r w:rsidR="00385EA2">
        <w:rPr>
          <w:rStyle w:val="Hyperlink"/>
          <w:rFonts w:ascii="Times New Roman" w:hAnsi="Times New Roman" w:cs="Times New Roman"/>
          <w:color w:val="auto"/>
          <w:sz w:val="24"/>
          <w:szCs w:val="24"/>
          <w:u w:val="none"/>
          <w:vertAlign w:val="superscript"/>
        </w:rPr>
        <w:t>91</w:t>
      </w:r>
      <w:r w:rsidRPr="00F261B8" w:rsidR="00385EA2">
        <w:rPr>
          <w:rStyle w:val="Hyperlink"/>
          <w:rFonts w:ascii="Times New Roman" w:hAnsi="Times New Roman" w:cs="Times New Roman"/>
          <w:color w:val="auto"/>
          <w:sz w:val="24"/>
          <w:szCs w:val="24"/>
          <w:u w:val="none"/>
          <w:vertAlign w:val="superscript"/>
        </w:rPr>
        <w:t>)</w:t>
      </w:r>
      <w:r w:rsidR="00DD732B">
        <w:rPr>
          <w:rFonts w:ascii="Times New Roman" w:hAnsi="Times New Roman" w:cs="Times New Roman"/>
          <w:sz w:val="24"/>
          <w:szCs w:val="24"/>
        </w:rPr>
        <w:t xml:space="preserve">, který výrazně omezil možnosti nabízení korporátních dluhopisů drobným investorům (přímo či zprostředkovaně). Požadavky tohoto </w:t>
      </w:r>
      <w:r w:rsidR="00DD732B">
        <w:rPr>
          <w:rFonts w:ascii="Times New Roman" w:hAnsi="Times New Roman" w:cs="Times New Roman"/>
          <w:sz w:val="24"/>
          <w:szCs w:val="24"/>
        </w:rPr>
        <w:t>benchmarku</w:t>
      </w:r>
      <w:r w:rsidR="00DD732B">
        <w:rPr>
          <w:rFonts w:ascii="Times New Roman" w:hAnsi="Times New Roman" w:cs="Times New Roman"/>
          <w:sz w:val="24"/>
          <w:szCs w:val="24"/>
        </w:rPr>
        <w:t xml:space="preserve"> (zejména ve vztahu k ratingu či velikosti emise) splňují jen jednotky českých emitentů. Ačkoli je řada dluhopisů českých emitentů kótována na Pražské burze, k obchodování s nimi prakticky nedochází. Údajně je toto způsobeno zejména tím, že se investoři odmítají zbavovat držených dluhopisů (a to mimo jiné i proto, že dříve vydané dluhopisy mají vyšší úrok). </w:t>
      </w:r>
      <w:r w:rsidR="006020EF">
        <w:rPr>
          <w:rFonts w:ascii="Times New Roman" w:hAnsi="Times New Roman" w:cs="Times New Roman"/>
          <w:sz w:val="24"/>
          <w:szCs w:val="24"/>
        </w:rPr>
        <w:t>Pozitivně lze ale vnímat množství kótovaných d</w:t>
      </w:r>
      <w:r w:rsidR="0059110C">
        <w:rPr>
          <w:rFonts w:ascii="Times New Roman" w:hAnsi="Times New Roman" w:cs="Times New Roman"/>
          <w:sz w:val="24"/>
          <w:szCs w:val="24"/>
        </w:rPr>
        <w:t>luhopisů, což mimo jiné vedlo k </w:t>
      </w:r>
      <w:r w:rsidR="006020EF">
        <w:rPr>
          <w:rFonts w:ascii="Times New Roman" w:hAnsi="Times New Roman" w:cs="Times New Roman"/>
          <w:sz w:val="24"/>
          <w:szCs w:val="24"/>
        </w:rPr>
        <w:t xml:space="preserve">vytvoření </w:t>
      </w:r>
      <w:r>
        <w:fldChar w:fldCharType="begin"/>
      </w:r>
      <w:r>
        <w:instrText xml:space="preserve"> HYPERLINK "https://www.jtbondindex.cz/" </w:instrText>
      </w:r>
      <w:r>
        <w:fldChar w:fldCharType="separate"/>
      </w:r>
      <w:r w:rsidRPr="006020EF" w:rsidR="006020EF">
        <w:rPr>
          <w:rStyle w:val="Hyperlink"/>
          <w:rFonts w:ascii="Times New Roman" w:hAnsi="Times New Roman" w:cs="Times New Roman"/>
          <w:sz w:val="24"/>
          <w:szCs w:val="24"/>
        </w:rPr>
        <w:t>indexu</w:t>
      </w:r>
      <w:r>
        <w:fldChar w:fldCharType="end"/>
      </w:r>
      <w:r w:rsidR="00385EA2">
        <w:rPr>
          <w:rStyle w:val="Hyperlink"/>
          <w:rFonts w:ascii="Times New Roman" w:hAnsi="Times New Roman" w:cs="Times New Roman"/>
          <w:color w:val="auto"/>
          <w:sz w:val="24"/>
          <w:szCs w:val="24"/>
          <w:u w:val="none"/>
          <w:vertAlign w:val="superscript"/>
        </w:rPr>
        <w:t>92</w:t>
      </w:r>
      <w:r w:rsidRPr="00F261B8" w:rsidR="00385EA2">
        <w:rPr>
          <w:rStyle w:val="Hyperlink"/>
          <w:rFonts w:ascii="Times New Roman" w:hAnsi="Times New Roman" w:cs="Times New Roman"/>
          <w:color w:val="auto"/>
          <w:sz w:val="24"/>
          <w:szCs w:val="24"/>
          <w:u w:val="none"/>
          <w:vertAlign w:val="superscript"/>
        </w:rPr>
        <w:t>)</w:t>
      </w:r>
      <w:r w:rsidR="006020EF">
        <w:rPr>
          <w:rFonts w:ascii="Times New Roman" w:hAnsi="Times New Roman" w:cs="Times New Roman"/>
          <w:sz w:val="24"/>
          <w:szCs w:val="24"/>
        </w:rPr>
        <w:t xml:space="preserve"> těchto českých dluhopisů.</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 xml:space="preserve">20) Vytvoření a uveřejnění pokynů ohledně vstupního </w:t>
      </w:r>
      <w:r w:rsidRPr="005F45F5">
        <w:rPr>
          <w:rFonts w:ascii="Times New Roman" w:hAnsi="Times New Roman" w:cs="Times New Roman"/>
          <w:b/>
          <w:i/>
          <w:sz w:val="24"/>
          <w:szCs w:val="24"/>
        </w:rPr>
        <w:t>due</w:t>
      </w:r>
      <w:r w:rsidRPr="005F45F5">
        <w:rPr>
          <w:rFonts w:ascii="Times New Roman" w:hAnsi="Times New Roman" w:cs="Times New Roman"/>
          <w:b/>
          <w:i/>
          <w:sz w:val="24"/>
          <w:szCs w:val="24"/>
        </w:rPr>
        <w:t xml:space="preserve"> diligence pro zahraniční investiční fondy</w:t>
      </w:r>
    </w:p>
    <w:tbl>
      <w:tblPr>
        <w:tblStyle w:val="Mkatabulky3"/>
        <w:tblW w:w="9180" w:type="dxa"/>
        <w:shd w:val="solid" w:color="auto" w:fill="auto"/>
        <w:tblLayout w:type="fixed"/>
        <w:tblLook w:val="04A0"/>
      </w:tblPr>
      <w:tblGrid>
        <w:gridCol w:w="5353"/>
        <w:gridCol w:w="2693"/>
        <w:gridCol w:w="1134"/>
      </w:tblGrid>
      <w:tr w:rsidTr="00B54255">
        <w:tblPrEx>
          <w:tblW w:w="9180" w:type="dxa"/>
          <w:shd w:val="solid" w:color="auto" w:fill="auto"/>
          <w:tblLayout w:type="fixed"/>
          <w:tblLook w:val="04A0"/>
        </w:tblPrEx>
        <w:tc>
          <w:tcPr>
            <w:tcW w:w="5353" w:type="dxa"/>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PLÁN</w:t>
            </w:r>
          </w:p>
        </w:tc>
        <w:tc>
          <w:tcPr>
            <w:tcW w:w="2693" w:type="dxa"/>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DOTČENÉ SUBJEKTY</w:t>
            </w:r>
          </w:p>
        </w:tc>
        <w:tc>
          <w:tcPr>
            <w:tcW w:w="1134" w:type="dxa"/>
            <w:shd w:val="clear" w:color="auto" w:fill="002060"/>
          </w:tcPr>
          <w:p w:rsidR="00B54255" w:rsidRPr="005F45F5" w:rsidP="002D7C06">
            <w:pPr>
              <w:jc w:val="center"/>
              <w:rPr>
                <w:rFonts w:ascii="Times New Roman" w:hAnsi="Times New Roman" w:cs="Times New Roman"/>
              </w:rPr>
            </w:pPr>
            <w:r w:rsidRPr="005F45F5">
              <w:rPr>
                <w:rFonts w:ascii="Times New Roman" w:hAnsi="Times New Roman" w:cs="Times New Roman"/>
              </w:rPr>
              <w:t>TERMÍN</w:t>
            </w:r>
          </w:p>
        </w:tc>
      </w:tr>
      <w:tr w:rsidTr="00B54255">
        <w:tblPrEx>
          <w:tblW w:w="9180" w:type="dxa"/>
          <w:shd w:val="solid" w:color="auto" w:fill="auto"/>
          <w:tblLayout w:type="fixed"/>
          <w:tblLook w:val="04A0"/>
        </w:tblPrEx>
        <w:tc>
          <w:tcPr>
            <w:tcW w:w="5353"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 xml:space="preserve">Vypracovat a uveřejnit pokyny ohledně vstupního </w:t>
            </w:r>
            <w:r w:rsidRPr="00867155">
              <w:rPr>
                <w:rFonts w:ascii="Times New Roman" w:hAnsi="Times New Roman" w:cs="Times New Roman"/>
                <w:i/>
                <w:sz w:val="20"/>
                <w:szCs w:val="20"/>
              </w:rPr>
              <w:t>due</w:t>
            </w:r>
            <w:r w:rsidRPr="00867155">
              <w:rPr>
                <w:rFonts w:ascii="Times New Roman" w:hAnsi="Times New Roman" w:cs="Times New Roman"/>
                <w:i/>
                <w:sz w:val="20"/>
                <w:szCs w:val="20"/>
              </w:rPr>
              <w:t xml:space="preserve"> diligence</w:t>
            </w:r>
            <w:r w:rsidRPr="00867155">
              <w:rPr>
                <w:rFonts w:ascii="Times New Roman" w:hAnsi="Times New Roman" w:cs="Times New Roman"/>
                <w:sz w:val="20"/>
                <w:szCs w:val="20"/>
              </w:rPr>
              <w:t xml:space="preserve"> pro zahraniční investiční fondy, například dle vzoru vídeňské burzy</w:t>
            </w:r>
          </w:p>
        </w:tc>
        <w:tc>
          <w:tcPr>
            <w:tcW w:w="2693"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BCPP</w:t>
            </w:r>
          </w:p>
        </w:tc>
        <w:tc>
          <w:tcPr>
            <w:tcW w:w="1134"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Q4 2020</w:t>
            </w:r>
          </w:p>
        </w:tc>
      </w:tr>
    </w:tbl>
    <w:p w:rsidR="009A09A2"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analýze tohoto problému bylo zjištěno, že toto vstupní </w:t>
      </w:r>
      <w:r>
        <w:rPr>
          <w:rFonts w:ascii="Times New Roman" w:hAnsi="Times New Roman" w:cs="Times New Roman"/>
          <w:sz w:val="24"/>
          <w:szCs w:val="24"/>
        </w:rPr>
        <w:t>due</w:t>
      </w:r>
      <w:r>
        <w:rPr>
          <w:rFonts w:ascii="Times New Roman" w:hAnsi="Times New Roman" w:cs="Times New Roman"/>
          <w:sz w:val="24"/>
          <w:szCs w:val="24"/>
        </w:rPr>
        <w:t xml:space="preserve"> diligence musí připravit </w:t>
      </w:r>
      <w:r w:rsidR="003F6AD1">
        <w:rPr>
          <w:rFonts w:ascii="Times New Roman" w:hAnsi="Times New Roman" w:cs="Times New Roman"/>
          <w:sz w:val="24"/>
          <w:szCs w:val="24"/>
        </w:rPr>
        <w:t>p</w:t>
      </w:r>
      <w:r>
        <w:rPr>
          <w:rFonts w:ascii="Times New Roman" w:hAnsi="Times New Roman" w:cs="Times New Roman"/>
          <w:sz w:val="24"/>
          <w:szCs w:val="24"/>
        </w:rPr>
        <w:t xml:space="preserve">ražská burza. MF v tomto ohledu zaslalo </w:t>
      </w:r>
      <w:r w:rsidR="003F6AD1">
        <w:rPr>
          <w:rFonts w:ascii="Times New Roman" w:hAnsi="Times New Roman" w:cs="Times New Roman"/>
          <w:sz w:val="24"/>
          <w:szCs w:val="24"/>
        </w:rPr>
        <w:t>p</w:t>
      </w:r>
      <w:r>
        <w:rPr>
          <w:rFonts w:ascii="Times New Roman" w:hAnsi="Times New Roman" w:cs="Times New Roman"/>
          <w:sz w:val="24"/>
          <w:szCs w:val="24"/>
        </w:rPr>
        <w:t>ražské burze výsledky svojí analýzy a ponechalo další kroky na jejím uvážení.</w:t>
      </w:r>
      <w:r w:rsidR="006418EC">
        <w:rPr>
          <w:rFonts w:ascii="Times New Roman" w:hAnsi="Times New Roman" w:cs="Times New Roman"/>
          <w:sz w:val="24"/>
          <w:szCs w:val="24"/>
        </w:rPr>
        <w:t xml:space="preserve"> V tuto chvíli se vyčkává, jaké kroky </w:t>
      </w:r>
      <w:r w:rsidR="003F6AD1">
        <w:rPr>
          <w:rFonts w:ascii="Times New Roman" w:hAnsi="Times New Roman" w:cs="Times New Roman"/>
          <w:sz w:val="24"/>
          <w:szCs w:val="24"/>
        </w:rPr>
        <w:t>p</w:t>
      </w:r>
      <w:r w:rsidR="006418EC">
        <w:rPr>
          <w:rFonts w:ascii="Times New Roman" w:hAnsi="Times New Roman" w:cs="Times New Roman"/>
          <w:sz w:val="24"/>
          <w:szCs w:val="24"/>
        </w:rPr>
        <w:t>ražská burza v tomto ohledu učiní.</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21) Analýza dalších možností rozvoje trhu se státními dluhopisy</w:t>
      </w:r>
    </w:p>
    <w:tbl>
      <w:tblPr>
        <w:tblStyle w:val="Mkatabulky5"/>
        <w:tblW w:w="0" w:type="auto"/>
        <w:shd w:val="solid" w:color="auto" w:fill="auto"/>
        <w:tblLook w:val="04A0"/>
      </w:tblPr>
      <w:tblGrid>
        <w:gridCol w:w="5271"/>
        <w:gridCol w:w="2659"/>
        <w:gridCol w:w="1132"/>
      </w:tblGrid>
      <w:tr w:rsidTr="00B54255">
        <w:tblPrEx>
          <w:tblW w:w="0" w:type="auto"/>
          <w:shd w:val="solid" w:color="auto" w:fill="auto"/>
          <w:tblLook w:val="04A0"/>
        </w:tblPrEx>
        <w:trPr>
          <w:trHeight w:val="216"/>
        </w:trPr>
        <w:tc>
          <w:tcPr>
            <w:tcW w:w="5271" w:type="dxa"/>
            <w:tcBorders>
              <w:bottom w:val="single" w:sz="4" w:space="0" w:color="auto"/>
            </w:tcBorders>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59" w:type="dxa"/>
            <w:tcBorders>
              <w:bottom w:val="single" w:sz="4" w:space="0" w:color="auto"/>
            </w:tcBorders>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2" w:type="dxa"/>
            <w:tcBorders>
              <w:bottom w:val="single" w:sz="4" w:space="0" w:color="auto"/>
            </w:tcBorders>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0" w:type="auto"/>
          <w:shd w:val="solid" w:color="auto" w:fill="auto"/>
          <w:tblLook w:val="04A0"/>
        </w:tblPrEx>
        <w:tc>
          <w:tcPr>
            <w:tcW w:w="5271" w:type="dxa"/>
            <w:tcBorders>
              <w:bottom w:val="single" w:sz="4" w:space="0" w:color="auto"/>
            </w:tcBorders>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Analyzovat vliv státních dluhopisů na český kapitálový trh a vliv českého kapitálového trhu na státní dluhopisy</w:t>
            </w:r>
          </w:p>
        </w:tc>
        <w:tc>
          <w:tcPr>
            <w:tcW w:w="2659" w:type="dxa"/>
            <w:tcBorders>
              <w:bottom w:val="single" w:sz="4" w:space="0" w:color="auto"/>
            </w:tcBorders>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2" w:type="dxa"/>
            <w:tcBorders>
              <w:bottom w:val="single" w:sz="4" w:space="0" w:color="auto"/>
            </w:tcBorders>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B54255" w:rsidRPr="005F45F5" w:rsidP="00867155">
      <w:pPr>
        <w:spacing w:before="120" w:after="120" w:line="240" w:lineRule="auto"/>
        <w:jc w:val="both"/>
        <w:rPr>
          <w:rFonts w:ascii="Times New Roman" w:hAnsi="Times New Roman" w:cs="Times New Roman"/>
        </w:rPr>
      </w:pPr>
      <w:r>
        <w:rPr>
          <w:rFonts w:ascii="Times New Roman" w:hAnsi="Times New Roman" w:cs="Times New Roman"/>
          <w:sz w:val="24"/>
          <w:szCs w:val="24"/>
        </w:rPr>
        <w:t xml:space="preserve">MF v letech </w:t>
      </w:r>
      <w:r>
        <w:fldChar w:fldCharType="begin"/>
      </w:r>
      <w:r>
        <w:instrText xml:space="preserve"> HYPERLINK "https://www.mfcr.cz/cs/aktualne/tiskove-zpravy/2019/uspesny-pilotni-prodej-eurovych-dluhopis-36099" </w:instrText>
      </w:r>
      <w:r>
        <w:fldChar w:fldCharType="separate"/>
      </w:r>
      <w:r w:rsidRPr="006418EC">
        <w:rPr>
          <w:rStyle w:val="Hyperlink"/>
          <w:rFonts w:ascii="Times New Roman" w:hAnsi="Times New Roman" w:cs="Times New Roman"/>
          <w:sz w:val="24"/>
          <w:szCs w:val="24"/>
        </w:rPr>
        <w:t>2019</w:t>
      </w:r>
      <w:r>
        <w:fldChar w:fldCharType="end"/>
      </w:r>
      <w:r w:rsidR="001A2152">
        <w:rPr>
          <w:rStyle w:val="Hyperlink"/>
          <w:rFonts w:ascii="Times New Roman" w:hAnsi="Times New Roman" w:cs="Times New Roman"/>
          <w:color w:val="auto"/>
          <w:sz w:val="24"/>
          <w:szCs w:val="24"/>
          <w:u w:val="none"/>
          <w:vertAlign w:val="superscript"/>
        </w:rPr>
        <w:t>93</w:t>
      </w:r>
      <w:r w:rsidRPr="00F261B8" w:rsidR="001A215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a </w:t>
      </w:r>
      <w:r>
        <w:fldChar w:fldCharType="begin"/>
      </w:r>
      <w:r>
        <w:instrText xml:space="preserve"> HYPERLINK "https://www.investicniweb.cz/news-mf-prodalo-poprve-letos-dluhopisy-v-eurech-zajem-byl-vysoky/" </w:instrText>
      </w:r>
      <w:r>
        <w:fldChar w:fldCharType="separate"/>
      </w:r>
      <w:r w:rsidRPr="006418EC">
        <w:rPr>
          <w:rStyle w:val="Hyperlink"/>
          <w:rFonts w:ascii="Times New Roman" w:hAnsi="Times New Roman" w:cs="Times New Roman"/>
          <w:sz w:val="24"/>
          <w:szCs w:val="24"/>
        </w:rPr>
        <w:t>2020</w:t>
      </w:r>
      <w:r>
        <w:fldChar w:fldCharType="end"/>
      </w:r>
      <w:r w:rsidR="001A2152">
        <w:rPr>
          <w:rStyle w:val="Hyperlink"/>
          <w:rFonts w:ascii="Times New Roman" w:hAnsi="Times New Roman" w:cs="Times New Roman"/>
          <w:color w:val="auto"/>
          <w:sz w:val="24"/>
          <w:szCs w:val="24"/>
          <w:u w:val="none"/>
          <w:vertAlign w:val="superscript"/>
        </w:rPr>
        <w:t>94</w:t>
      </w:r>
      <w:r w:rsidRPr="00F261B8" w:rsidR="001A215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obnovilo emise státních dluhopisů vydávaných v eurech. Tyto emise byly velmi úspěšné, setkaly se s velkým zájmem</w:t>
      </w:r>
      <w:r w:rsidR="002B0267">
        <w:rPr>
          <w:rFonts w:ascii="Times New Roman" w:hAnsi="Times New Roman" w:cs="Times New Roman"/>
          <w:sz w:val="24"/>
          <w:szCs w:val="24"/>
        </w:rPr>
        <w:t xml:space="preserve"> investorů a podařilo se je vydat se záporným výnosem. Úspěšnost státních dluhopisů je mimo jiné podpořena i </w:t>
      </w:r>
      <w:r>
        <w:fldChar w:fldCharType="begin"/>
      </w:r>
      <w:r>
        <w:instrText xml:space="preserve"> HYPERLINK "https://www.mfcr.cz/cs/aktualne/tiskove-zpravy/2020/ratingove-agentury-potvrzuji-vynikajici-39898" </w:instrText>
      </w:r>
      <w:r>
        <w:fldChar w:fldCharType="separate"/>
      </w:r>
      <w:r w:rsidRPr="002B0267" w:rsidR="002B0267">
        <w:rPr>
          <w:rStyle w:val="Hyperlink"/>
          <w:rFonts w:ascii="Times New Roman" w:hAnsi="Times New Roman" w:cs="Times New Roman"/>
          <w:sz w:val="24"/>
          <w:szCs w:val="24"/>
        </w:rPr>
        <w:t>vynikajícím ratingem ČR</w:t>
      </w:r>
      <w:r>
        <w:fldChar w:fldCharType="end"/>
      </w:r>
      <w:r w:rsidR="001A2152">
        <w:rPr>
          <w:rStyle w:val="Hyperlink"/>
          <w:rFonts w:ascii="Times New Roman" w:hAnsi="Times New Roman" w:cs="Times New Roman"/>
          <w:color w:val="auto"/>
          <w:sz w:val="24"/>
          <w:szCs w:val="24"/>
          <w:u w:val="none"/>
          <w:vertAlign w:val="superscript"/>
        </w:rPr>
        <w:t>95</w:t>
      </w:r>
      <w:r w:rsidRPr="00F261B8" w:rsidR="001A2152">
        <w:rPr>
          <w:rStyle w:val="Hyperlink"/>
          <w:rFonts w:ascii="Times New Roman" w:hAnsi="Times New Roman" w:cs="Times New Roman"/>
          <w:color w:val="auto"/>
          <w:sz w:val="24"/>
          <w:szCs w:val="24"/>
          <w:u w:val="none"/>
          <w:vertAlign w:val="superscript"/>
        </w:rPr>
        <w:t>)</w:t>
      </w:r>
      <w:r w:rsidR="002B0267">
        <w:rPr>
          <w:rFonts w:ascii="Times New Roman" w:hAnsi="Times New Roman" w:cs="Times New Roman"/>
          <w:sz w:val="24"/>
          <w:szCs w:val="24"/>
        </w:rPr>
        <w:t xml:space="preserve">, naposledy potvrzeným v listopadu 2020. Úspěšné jsou i emise </w:t>
      </w:r>
      <w:r>
        <w:fldChar w:fldCharType="begin"/>
      </w:r>
      <w:r>
        <w:instrText xml:space="preserve"> HYPERLINK "https://www.sporicidluhopisycr.cz/cs/dluhopis-republiky" </w:instrText>
      </w:r>
      <w:r>
        <w:fldChar w:fldCharType="separate"/>
      </w:r>
      <w:r w:rsidRPr="002B0267" w:rsidR="002B0267">
        <w:rPr>
          <w:rStyle w:val="Hyperlink"/>
          <w:rFonts w:ascii="Times New Roman" w:hAnsi="Times New Roman" w:cs="Times New Roman"/>
          <w:sz w:val="24"/>
          <w:szCs w:val="24"/>
        </w:rPr>
        <w:t>Dluhopisu Republika</w:t>
      </w:r>
      <w:r>
        <w:fldChar w:fldCharType="end"/>
      </w:r>
      <w:r w:rsidR="001A2152">
        <w:rPr>
          <w:rStyle w:val="Hyperlink"/>
          <w:rFonts w:ascii="Times New Roman" w:hAnsi="Times New Roman" w:cs="Times New Roman"/>
          <w:color w:val="auto"/>
          <w:sz w:val="24"/>
          <w:szCs w:val="24"/>
          <w:u w:val="none"/>
          <w:vertAlign w:val="superscript"/>
        </w:rPr>
        <w:t>96</w:t>
      </w:r>
      <w:r w:rsidRPr="00F261B8" w:rsidR="001A2152">
        <w:rPr>
          <w:rStyle w:val="Hyperlink"/>
          <w:rFonts w:ascii="Times New Roman" w:hAnsi="Times New Roman" w:cs="Times New Roman"/>
          <w:color w:val="auto"/>
          <w:sz w:val="24"/>
          <w:szCs w:val="24"/>
          <w:u w:val="none"/>
          <w:vertAlign w:val="superscript"/>
        </w:rPr>
        <w:t>)</w:t>
      </w:r>
      <w:r w:rsidR="002B0267">
        <w:rPr>
          <w:rFonts w:ascii="Times New Roman" w:hAnsi="Times New Roman" w:cs="Times New Roman"/>
          <w:sz w:val="24"/>
          <w:szCs w:val="24"/>
        </w:rPr>
        <w:t xml:space="preserve"> určené pro občany ČR, které jsou nyní nabízeny kontinuálně a je možno je tak nakoupit po celý rok. Od října 2019 je </w:t>
      </w:r>
      <w:r w:rsidR="002D7C06">
        <w:rPr>
          <w:rFonts w:ascii="Times New Roman" w:hAnsi="Times New Roman" w:cs="Times New Roman"/>
          <w:sz w:val="24"/>
          <w:szCs w:val="24"/>
        </w:rPr>
        <w:t xml:space="preserve">možno tyto dluhopisy nakoupit i ve </w:t>
      </w:r>
      <w:r>
        <w:fldChar w:fldCharType="begin"/>
      </w:r>
      <w:r>
        <w:instrText xml:space="preserve"> HYPERLINK "https://www.sporicidluhopisycr.cz/cs/aktuality/2019/dluhopis-republiky-bude-mozne-poridit-1161" </w:instrText>
      </w:r>
      <w:r>
        <w:fldChar w:fldCharType="separate"/>
      </w:r>
      <w:r w:rsidRPr="002D7C06" w:rsidR="002D7C06">
        <w:rPr>
          <w:rStyle w:val="Hyperlink"/>
          <w:rFonts w:ascii="Times New Roman" w:hAnsi="Times New Roman" w:cs="Times New Roman"/>
          <w:sz w:val="24"/>
          <w:szCs w:val="24"/>
        </w:rPr>
        <w:t>vybraných pobočkách</w:t>
      </w:r>
      <w:r>
        <w:fldChar w:fldCharType="end"/>
      </w:r>
      <w:r w:rsidR="001A2152">
        <w:rPr>
          <w:rStyle w:val="Hyperlink"/>
          <w:rFonts w:ascii="Times New Roman" w:hAnsi="Times New Roman" w:cs="Times New Roman"/>
          <w:color w:val="auto"/>
          <w:sz w:val="24"/>
          <w:szCs w:val="24"/>
          <w:u w:val="none"/>
          <w:vertAlign w:val="superscript"/>
        </w:rPr>
        <w:t>97</w:t>
      </w:r>
      <w:r w:rsidRPr="00F261B8" w:rsidR="001A2152">
        <w:rPr>
          <w:rStyle w:val="Hyperlink"/>
          <w:rFonts w:ascii="Times New Roman" w:hAnsi="Times New Roman" w:cs="Times New Roman"/>
          <w:color w:val="auto"/>
          <w:sz w:val="24"/>
          <w:szCs w:val="24"/>
          <w:u w:val="none"/>
          <w:vertAlign w:val="superscript"/>
        </w:rPr>
        <w:t>)</w:t>
      </w:r>
      <w:r w:rsidR="002D7C06">
        <w:rPr>
          <w:rFonts w:ascii="Times New Roman" w:hAnsi="Times New Roman" w:cs="Times New Roman"/>
          <w:sz w:val="24"/>
          <w:szCs w:val="24"/>
        </w:rPr>
        <w:t xml:space="preserve"> České spořitelny (tedy nejenom u ČSOB jako dříve), čímž došlo k rozšíření pobočkové sítě</w:t>
      </w:r>
      <w:r w:rsidRPr="002D7C06" w:rsidR="002D7C06">
        <w:rPr>
          <w:rFonts w:ascii="Times New Roman" w:hAnsi="Times New Roman" w:cs="Times New Roman"/>
          <w:sz w:val="24"/>
          <w:szCs w:val="24"/>
        </w:rPr>
        <w:t xml:space="preserve"> pro distribuci dluhopisů o 83 míst na 132 poboček bank.</w:t>
      </w:r>
      <w:r w:rsidR="002D7C06">
        <w:rPr>
          <w:rFonts w:ascii="Times New Roman" w:hAnsi="Times New Roman" w:cs="Times New Roman"/>
          <w:sz w:val="24"/>
          <w:szCs w:val="24"/>
        </w:rPr>
        <w:t xml:space="preserve"> Dluhopis Republika je rovněž možno koupit </w:t>
      </w:r>
      <w:r>
        <w:fldChar w:fldCharType="begin"/>
      </w:r>
      <w:r>
        <w:instrText xml:space="preserve"> HYPERLINK "https://www.sporicidluhopisycr.cz/cs/jak-investovat/elektronicky-pristup-ke-sprave-maj-uctu" </w:instrText>
      </w:r>
      <w:r>
        <w:fldChar w:fldCharType="separate"/>
      </w:r>
      <w:r w:rsidRPr="002128E1" w:rsidR="002128E1">
        <w:rPr>
          <w:rStyle w:val="Hyperlink"/>
          <w:rFonts w:ascii="Times New Roman" w:hAnsi="Times New Roman" w:cs="Times New Roman"/>
          <w:sz w:val="24"/>
          <w:szCs w:val="24"/>
        </w:rPr>
        <w:t>elektronicky</w:t>
      </w:r>
      <w:r>
        <w:fldChar w:fldCharType="end"/>
      </w:r>
      <w:r w:rsidR="001A2152">
        <w:rPr>
          <w:rStyle w:val="Hyperlink"/>
          <w:rFonts w:ascii="Times New Roman" w:hAnsi="Times New Roman" w:cs="Times New Roman"/>
          <w:color w:val="auto"/>
          <w:sz w:val="24"/>
          <w:szCs w:val="24"/>
          <w:u w:val="none"/>
          <w:vertAlign w:val="superscript"/>
        </w:rPr>
        <w:t>98</w:t>
      </w:r>
      <w:r w:rsidRPr="00F261B8" w:rsidR="001A2152">
        <w:rPr>
          <w:rStyle w:val="Hyperlink"/>
          <w:rFonts w:ascii="Times New Roman" w:hAnsi="Times New Roman" w:cs="Times New Roman"/>
          <w:color w:val="auto"/>
          <w:sz w:val="24"/>
          <w:szCs w:val="24"/>
          <w:u w:val="none"/>
          <w:vertAlign w:val="superscript"/>
        </w:rPr>
        <w:t>)</w:t>
      </w:r>
      <w:r w:rsidR="002128E1">
        <w:rPr>
          <w:rFonts w:ascii="Times New Roman" w:hAnsi="Times New Roman" w:cs="Times New Roman"/>
          <w:sz w:val="24"/>
          <w:szCs w:val="24"/>
        </w:rPr>
        <w:t xml:space="preserve"> </w:t>
      </w:r>
      <w:r w:rsidR="002D7C06">
        <w:rPr>
          <w:rFonts w:ascii="Times New Roman" w:hAnsi="Times New Roman" w:cs="Times New Roman"/>
          <w:sz w:val="24"/>
          <w:szCs w:val="24"/>
        </w:rPr>
        <w:t>v aplikaci provozované MF</w:t>
      </w:r>
      <w:r w:rsidR="002128E1">
        <w:rPr>
          <w:rFonts w:ascii="Times New Roman" w:hAnsi="Times New Roman" w:cs="Times New Roman"/>
          <w:sz w:val="24"/>
          <w:szCs w:val="24"/>
        </w:rPr>
        <w:t>, a to bez poplatků</w:t>
      </w:r>
      <w:r w:rsidR="002D7C06">
        <w:rPr>
          <w:rFonts w:ascii="Times New Roman" w:hAnsi="Times New Roman" w:cs="Times New Roman"/>
          <w:sz w:val="24"/>
          <w:szCs w:val="24"/>
        </w:rPr>
        <w:t>.</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22) Aktivní zapojení se do panevropských i globálních iniciativ</w:t>
      </w:r>
    </w:p>
    <w:tbl>
      <w:tblPr>
        <w:tblStyle w:val="Mkatabulky41"/>
        <w:tblW w:w="0" w:type="auto"/>
        <w:shd w:val="solid" w:color="auto" w:fill="auto"/>
        <w:tblLook w:val="04A0"/>
      </w:tblPr>
      <w:tblGrid>
        <w:gridCol w:w="5209"/>
        <w:gridCol w:w="2710"/>
        <w:gridCol w:w="1143"/>
      </w:tblGrid>
      <w:tr w:rsidTr="00B54255">
        <w:tblPrEx>
          <w:tblW w:w="0" w:type="auto"/>
          <w:shd w:val="solid" w:color="auto" w:fill="auto"/>
          <w:tblLook w:val="04A0"/>
        </w:tblPrEx>
        <w:trPr>
          <w:trHeight w:val="61"/>
        </w:trPr>
        <w:tc>
          <w:tcPr>
            <w:tcW w:w="5209"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710"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43"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0" w:type="auto"/>
          <w:shd w:val="solid" w:color="auto" w:fill="auto"/>
          <w:tblLook w:val="04A0"/>
        </w:tblPrEx>
        <w:trPr>
          <w:trHeight w:val="286"/>
        </w:trPr>
        <w:tc>
          <w:tcPr>
            <w:tcW w:w="5209"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Usilovat o aktivní spolupráci s mezinárodními organizacemi, které mohou pomoci rozvinout český kapitálový trh</w:t>
            </w:r>
          </w:p>
        </w:tc>
        <w:tc>
          <w:tcPr>
            <w:tcW w:w="2710"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ČNB, MPO, Úřad vlády, Světová banka, IMF, EIB, EIF, EBRD, EFSI, IOSCO</w:t>
            </w:r>
          </w:p>
        </w:tc>
        <w:tc>
          <w:tcPr>
            <w:tcW w:w="1143"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9A09A2"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MF se v rámci možností zapojuje do spolupráce s mezinárodními organizacemi, kdy probíhají jednání se Světovou bankou, OECD, EIF i EBRD. Například OECD zpracovalo pro ČR analýzu jejího penzijního systému. EIB poskytla MF technickou asistenci při tvorbě </w:t>
      </w:r>
      <w:r>
        <w:rPr>
          <w:rFonts w:ascii="Times New Roman" w:hAnsi="Times New Roman" w:cs="Times New Roman"/>
          <w:sz w:val="24"/>
          <w:szCs w:val="24"/>
        </w:rPr>
        <w:t>Scorecardu</w:t>
      </w:r>
      <w:r>
        <w:rPr>
          <w:rFonts w:ascii="Times New Roman" w:hAnsi="Times New Roman" w:cs="Times New Roman"/>
          <w:sz w:val="24"/>
          <w:szCs w:val="24"/>
        </w:rPr>
        <w:t xml:space="preserve"> korporátních dluhopisů. </w:t>
      </w:r>
      <w:r w:rsidR="003006CF">
        <w:rPr>
          <w:rFonts w:ascii="Times New Roman" w:hAnsi="Times New Roman" w:cs="Times New Roman"/>
          <w:sz w:val="24"/>
          <w:szCs w:val="24"/>
        </w:rPr>
        <w:t xml:space="preserve">EBRD zvažuje větší zapojení v ČR z důvodu pandemie COVID-19, </w:t>
      </w:r>
      <w:r w:rsidR="003006CF">
        <w:rPr>
          <w:rFonts w:ascii="Times New Roman" w:hAnsi="Times New Roman" w:cs="Times New Roman"/>
          <w:sz w:val="24"/>
          <w:szCs w:val="24"/>
        </w:rPr>
        <w:t>například formou pomoci při vydávání tzv. zelených dluhopisů. Lze očekávat, že spolupráce s těmito subjekty bude pokračovat i v budoucnu.</w:t>
      </w:r>
    </w:p>
    <w:p w:rsidR="00B54255" w:rsidRPr="005F45F5" w:rsidP="00867155">
      <w:pPr>
        <w:spacing w:before="120" w:after="120" w:line="240" w:lineRule="auto"/>
        <w:jc w:val="center"/>
        <w:rPr>
          <w:rFonts w:ascii="Times New Roman" w:hAnsi="Times New Roman" w:eastAsiaTheme="majorEastAsia" w:cs="Times New Roman"/>
          <w:b/>
          <w:bCs/>
          <w:color w:val="FFFFFF" w:themeColor="background1"/>
        </w:rPr>
      </w:pPr>
      <w:r w:rsidRPr="005F45F5">
        <w:rPr>
          <w:rFonts w:ascii="Times New Roman" w:hAnsi="Times New Roman" w:cs="Times New Roman"/>
          <w:b/>
          <w:i/>
          <w:sz w:val="24"/>
          <w:szCs w:val="24"/>
        </w:rPr>
        <w:t>23) Aktivní zapojení při vyjednávání právních předpisů EU</w:t>
      </w:r>
    </w:p>
    <w:tbl>
      <w:tblPr>
        <w:tblStyle w:val="Mkatabulky5"/>
        <w:tblW w:w="0" w:type="auto"/>
        <w:shd w:val="solid" w:color="auto" w:fill="auto"/>
        <w:tblLook w:val="04A0"/>
      </w:tblPr>
      <w:tblGrid>
        <w:gridCol w:w="5037"/>
        <w:gridCol w:w="2578"/>
        <w:gridCol w:w="1447"/>
      </w:tblGrid>
      <w:tr w:rsidTr="00B54255">
        <w:tblPrEx>
          <w:tblW w:w="0" w:type="auto"/>
          <w:shd w:val="solid" w:color="auto" w:fill="auto"/>
          <w:tblLook w:val="04A0"/>
        </w:tblPrEx>
        <w:tc>
          <w:tcPr>
            <w:tcW w:w="5037"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578"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447"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0" w:type="auto"/>
          <w:shd w:val="solid" w:color="auto" w:fill="auto"/>
          <w:tblLook w:val="04A0"/>
        </w:tblPrEx>
        <w:trPr>
          <w:trHeight w:val="544"/>
        </w:trPr>
        <w:tc>
          <w:tcPr>
            <w:tcW w:w="5037"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Podporovat aktivní účast při vyjednávání právních předpisů EU</w:t>
            </w:r>
          </w:p>
        </w:tc>
        <w:tc>
          <w:tcPr>
            <w:tcW w:w="2578"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ČNB</w:t>
            </w:r>
          </w:p>
        </w:tc>
        <w:tc>
          <w:tcPr>
            <w:tcW w:w="1447"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9A09A2"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MF i ČNB se aktivně podílejí na vyjednávání právních předpisů EU v oblasti kapitálového trhu (resp. finančního trhu obecně). </w:t>
      </w:r>
      <w:r w:rsidR="00642A82">
        <w:rPr>
          <w:rFonts w:ascii="Times New Roman" w:hAnsi="Times New Roman" w:cs="Times New Roman"/>
          <w:sz w:val="24"/>
          <w:szCs w:val="24"/>
        </w:rPr>
        <w:t xml:space="preserve">V současné době se například dokončují vyjednávání předpisů, které Evropská komise publikovala v </w:t>
      </w:r>
      <w:r>
        <w:fldChar w:fldCharType="begin"/>
      </w:r>
      <w:r>
        <w:instrText xml:space="preserve"> HYPERLINK "https://ec.europa.eu/info/publications/200722-proposal-capital-markets-recovery_en" </w:instrText>
      </w:r>
      <w:r>
        <w:fldChar w:fldCharType="separate"/>
      </w:r>
      <w:r w:rsidRPr="00642A82" w:rsidR="00642A82">
        <w:rPr>
          <w:rStyle w:val="Hyperlink"/>
          <w:rFonts w:ascii="Times New Roman" w:hAnsi="Times New Roman" w:cs="Times New Roman"/>
          <w:sz w:val="24"/>
          <w:szCs w:val="24"/>
        </w:rPr>
        <w:t>červenci 2020</w:t>
      </w:r>
      <w:r>
        <w:fldChar w:fldCharType="end"/>
      </w:r>
      <w:r w:rsidR="001A2152">
        <w:rPr>
          <w:rStyle w:val="Hyperlink"/>
          <w:rFonts w:ascii="Times New Roman" w:hAnsi="Times New Roman" w:cs="Times New Roman"/>
          <w:color w:val="auto"/>
          <w:sz w:val="24"/>
          <w:szCs w:val="24"/>
          <w:u w:val="none"/>
          <w:vertAlign w:val="superscript"/>
        </w:rPr>
        <w:t>99</w:t>
      </w:r>
      <w:r w:rsidRPr="00F261B8" w:rsidR="001A2152">
        <w:rPr>
          <w:rStyle w:val="Hyperlink"/>
          <w:rFonts w:ascii="Times New Roman" w:hAnsi="Times New Roman" w:cs="Times New Roman"/>
          <w:color w:val="auto"/>
          <w:sz w:val="24"/>
          <w:szCs w:val="24"/>
          <w:u w:val="none"/>
          <w:vertAlign w:val="superscript"/>
        </w:rPr>
        <w:t>)</w:t>
      </w:r>
      <w:r w:rsidR="00642A82">
        <w:rPr>
          <w:rFonts w:ascii="Times New Roman" w:hAnsi="Times New Roman" w:cs="Times New Roman"/>
          <w:sz w:val="24"/>
          <w:szCs w:val="24"/>
        </w:rPr>
        <w:t xml:space="preserve"> jako reakci na pandemii </w:t>
      </w:r>
      <w:r>
        <w:fldChar w:fldCharType="begin"/>
      </w:r>
      <w:r>
        <w:instrText xml:space="preserve"> HYPERLINK "https://www.mfcr.cz/cs/soukromy-sektor/kapitalovy-trh/podnikani-na-kapitalovem-trhu/2020/evropska-komise-uverejnila-legislativni-39103" </w:instrText>
      </w:r>
      <w:r>
        <w:fldChar w:fldCharType="separate"/>
      </w:r>
      <w:r w:rsidRPr="00642A82" w:rsidR="00642A82">
        <w:rPr>
          <w:rStyle w:val="Hyperlink"/>
          <w:rFonts w:ascii="Times New Roman" w:hAnsi="Times New Roman" w:cs="Times New Roman"/>
          <w:sz w:val="24"/>
          <w:szCs w:val="24"/>
        </w:rPr>
        <w:t>COVID- 19</w:t>
      </w:r>
      <w:r>
        <w:fldChar w:fldCharType="end"/>
      </w:r>
      <w:r w:rsidR="001A2152">
        <w:rPr>
          <w:rStyle w:val="Hyperlink"/>
          <w:rFonts w:ascii="Times New Roman" w:hAnsi="Times New Roman" w:cs="Times New Roman"/>
          <w:color w:val="auto"/>
          <w:sz w:val="24"/>
          <w:szCs w:val="24"/>
          <w:u w:val="none"/>
          <w:vertAlign w:val="superscript"/>
        </w:rPr>
        <w:t>100</w:t>
      </w:r>
      <w:r w:rsidRPr="00F261B8" w:rsidR="001A2152">
        <w:rPr>
          <w:rStyle w:val="Hyperlink"/>
          <w:rFonts w:ascii="Times New Roman" w:hAnsi="Times New Roman" w:cs="Times New Roman"/>
          <w:color w:val="auto"/>
          <w:sz w:val="24"/>
          <w:szCs w:val="24"/>
          <w:u w:val="none"/>
          <w:vertAlign w:val="superscript"/>
        </w:rPr>
        <w:t>)</w:t>
      </w:r>
      <w:r w:rsidR="00642A82">
        <w:rPr>
          <w:rFonts w:ascii="Times New Roman" w:hAnsi="Times New Roman" w:cs="Times New Roman"/>
          <w:sz w:val="24"/>
          <w:szCs w:val="24"/>
        </w:rPr>
        <w:t xml:space="preserve">. </w:t>
      </w:r>
      <w:r>
        <w:rPr>
          <w:rFonts w:ascii="Times New Roman" w:hAnsi="Times New Roman" w:cs="Times New Roman"/>
          <w:sz w:val="24"/>
          <w:szCs w:val="24"/>
        </w:rPr>
        <w:t>Lze očekávat potřebu tohoto aktivního zapojení i nadále, a to nejenom s ohledem na plánované legislativní návrhy Evropskou komisí</w:t>
      </w:r>
      <w:r w:rsidR="00642A82">
        <w:rPr>
          <w:rFonts w:ascii="Times New Roman" w:hAnsi="Times New Roman" w:cs="Times New Roman"/>
          <w:sz w:val="24"/>
          <w:szCs w:val="24"/>
        </w:rPr>
        <w:t xml:space="preserve"> (viz např. nový akční plán k </w:t>
      </w:r>
      <w:r>
        <w:fldChar w:fldCharType="begin"/>
      </w:r>
      <w:r>
        <w:instrText xml:space="preserve"> HYPERLINK "https://ec.europa.eu/info/publications/200924-capital-markets-union-action-plan_en" </w:instrText>
      </w:r>
      <w:r>
        <w:fldChar w:fldCharType="separate"/>
      </w:r>
      <w:r w:rsidRPr="00642A82" w:rsidR="00642A82">
        <w:rPr>
          <w:rStyle w:val="Hyperlink"/>
          <w:rFonts w:ascii="Times New Roman" w:hAnsi="Times New Roman" w:cs="Times New Roman"/>
          <w:sz w:val="24"/>
          <w:szCs w:val="24"/>
        </w:rPr>
        <w:t>unii kapitálových trhů</w:t>
      </w:r>
      <w:r>
        <w:fldChar w:fldCharType="end"/>
      </w:r>
      <w:r w:rsidR="001A2152">
        <w:rPr>
          <w:rStyle w:val="Hyperlink"/>
          <w:rFonts w:ascii="Times New Roman" w:hAnsi="Times New Roman" w:cs="Times New Roman"/>
          <w:color w:val="auto"/>
          <w:sz w:val="24"/>
          <w:szCs w:val="24"/>
          <w:u w:val="none"/>
          <w:vertAlign w:val="superscript"/>
        </w:rPr>
        <w:t>101</w:t>
      </w:r>
      <w:r w:rsidRPr="00F261B8" w:rsidR="001A2152">
        <w:rPr>
          <w:rStyle w:val="Hyperlink"/>
          <w:rFonts w:ascii="Times New Roman" w:hAnsi="Times New Roman" w:cs="Times New Roman"/>
          <w:color w:val="auto"/>
          <w:sz w:val="24"/>
          <w:szCs w:val="24"/>
          <w:u w:val="none"/>
          <w:vertAlign w:val="superscript"/>
        </w:rPr>
        <w:t>)</w:t>
      </w:r>
      <w:r w:rsidR="00642A82">
        <w:rPr>
          <w:rFonts w:ascii="Times New Roman" w:hAnsi="Times New Roman" w:cs="Times New Roman"/>
          <w:sz w:val="24"/>
          <w:szCs w:val="24"/>
        </w:rPr>
        <w:t xml:space="preserve"> ze září 2020)</w:t>
      </w:r>
      <w:r>
        <w:rPr>
          <w:rFonts w:ascii="Times New Roman" w:hAnsi="Times New Roman" w:cs="Times New Roman"/>
          <w:sz w:val="24"/>
          <w:szCs w:val="24"/>
        </w:rPr>
        <w:t xml:space="preserve">, ale i s ohledem na blížící se </w:t>
      </w:r>
      <w:r>
        <w:fldChar w:fldCharType="begin"/>
      </w:r>
      <w:r>
        <w:instrText xml:space="preserve"> HYPERLINK "https://www.eu2022.cz/" </w:instrText>
      </w:r>
      <w:r>
        <w:fldChar w:fldCharType="separate"/>
      </w:r>
      <w:r w:rsidRPr="003006CF">
        <w:rPr>
          <w:rStyle w:val="Hyperlink"/>
          <w:rFonts w:ascii="Times New Roman" w:hAnsi="Times New Roman" w:cs="Times New Roman"/>
          <w:sz w:val="24"/>
          <w:szCs w:val="24"/>
        </w:rPr>
        <w:t>předsednictví ČR</w:t>
      </w:r>
      <w:r>
        <w:fldChar w:fldCharType="end"/>
      </w:r>
      <w:r w:rsidR="001A2152">
        <w:rPr>
          <w:rStyle w:val="Hyperlink"/>
          <w:rFonts w:ascii="Times New Roman" w:hAnsi="Times New Roman" w:cs="Times New Roman"/>
          <w:color w:val="auto"/>
          <w:sz w:val="24"/>
          <w:szCs w:val="24"/>
          <w:u w:val="none"/>
          <w:vertAlign w:val="superscript"/>
        </w:rPr>
        <w:t>102</w:t>
      </w:r>
      <w:r w:rsidRPr="00F261B8" w:rsidR="001A215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v Radě EU v druhé polovině roku 2022.</w:t>
      </w:r>
      <w:r w:rsidR="004D231B">
        <w:rPr>
          <w:rFonts w:ascii="Times New Roman" w:hAnsi="Times New Roman" w:cs="Times New Roman"/>
          <w:sz w:val="24"/>
          <w:szCs w:val="24"/>
        </w:rPr>
        <w:t xml:space="preserve"> Například ředitel </w:t>
      </w:r>
      <w:r w:rsidR="00642A82">
        <w:rPr>
          <w:rFonts w:ascii="Times New Roman" w:hAnsi="Times New Roman" w:cs="Times New Roman"/>
          <w:sz w:val="24"/>
          <w:szCs w:val="24"/>
        </w:rPr>
        <w:t xml:space="preserve">Pražské burzy Petr </w:t>
      </w:r>
      <w:r w:rsidR="00642A82">
        <w:rPr>
          <w:rFonts w:ascii="Times New Roman" w:hAnsi="Times New Roman" w:cs="Times New Roman"/>
          <w:sz w:val="24"/>
          <w:szCs w:val="24"/>
        </w:rPr>
        <w:t>Koblic</w:t>
      </w:r>
      <w:r w:rsidR="00642A82">
        <w:rPr>
          <w:rFonts w:ascii="Times New Roman" w:hAnsi="Times New Roman" w:cs="Times New Roman"/>
          <w:sz w:val="24"/>
          <w:szCs w:val="24"/>
        </w:rPr>
        <w:t xml:space="preserve"> </w:t>
      </w:r>
      <w:r w:rsidR="0059110C">
        <w:rPr>
          <w:rFonts w:ascii="Times New Roman" w:hAnsi="Times New Roman" w:cs="Times New Roman"/>
          <w:sz w:val="24"/>
          <w:szCs w:val="24"/>
        </w:rPr>
        <w:t xml:space="preserve">byl členem fóra na vysoké úrovni, které připravilo </w:t>
      </w:r>
      <w:r>
        <w:fldChar w:fldCharType="begin"/>
      </w:r>
      <w:r>
        <w:instrText xml:space="preserve"> HYPERLINK "https://ec.europa.eu/info/news/cmu-high-level-forum-final-report_en" </w:instrText>
      </w:r>
      <w:r>
        <w:fldChar w:fldCharType="separate"/>
      </w:r>
      <w:r w:rsidRPr="004D231B" w:rsidR="00642A82">
        <w:rPr>
          <w:rStyle w:val="Hyperlink"/>
          <w:rFonts w:ascii="Times New Roman" w:hAnsi="Times New Roman" w:cs="Times New Roman"/>
          <w:sz w:val="24"/>
          <w:szCs w:val="24"/>
        </w:rPr>
        <w:t>zpráv</w:t>
      </w:r>
      <w:r w:rsidR="0059110C">
        <w:rPr>
          <w:rStyle w:val="Hyperlink"/>
          <w:rFonts w:ascii="Times New Roman" w:hAnsi="Times New Roman" w:cs="Times New Roman"/>
          <w:sz w:val="24"/>
          <w:szCs w:val="24"/>
        </w:rPr>
        <w:t>u</w:t>
      </w:r>
      <w:r>
        <w:fldChar w:fldCharType="end"/>
      </w:r>
      <w:r w:rsidR="001A2152">
        <w:rPr>
          <w:rStyle w:val="Hyperlink"/>
          <w:rFonts w:ascii="Times New Roman" w:hAnsi="Times New Roman" w:cs="Times New Roman"/>
          <w:color w:val="auto"/>
          <w:sz w:val="24"/>
          <w:szCs w:val="24"/>
          <w:u w:val="none"/>
          <w:vertAlign w:val="superscript"/>
        </w:rPr>
        <w:t>103</w:t>
      </w:r>
      <w:r w:rsidRPr="00F261B8" w:rsidR="001A2152">
        <w:rPr>
          <w:rStyle w:val="Hyperlink"/>
          <w:rFonts w:ascii="Times New Roman" w:hAnsi="Times New Roman" w:cs="Times New Roman"/>
          <w:color w:val="auto"/>
          <w:sz w:val="24"/>
          <w:szCs w:val="24"/>
          <w:u w:val="none"/>
          <w:vertAlign w:val="superscript"/>
        </w:rPr>
        <w:t>)</w:t>
      </w:r>
      <w:r w:rsidR="00642A82">
        <w:rPr>
          <w:rFonts w:ascii="Times New Roman" w:hAnsi="Times New Roman" w:cs="Times New Roman"/>
          <w:sz w:val="24"/>
          <w:szCs w:val="24"/>
        </w:rPr>
        <w:t>, která byla podkladem pro nový akční plán Evropské komise k unii kapitálových trhů.</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24) Zajištění stáží pro státní úředníky a regulátory</w:t>
      </w:r>
    </w:p>
    <w:tbl>
      <w:tblPr>
        <w:tblStyle w:val="Mkatabulky5"/>
        <w:tblW w:w="0" w:type="auto"/>
        <w:shd w:val="solid" w:color="auto" w:fill="auto"/>
        <w:tblLook w:val="04A0"/>
      </w:tblPr>
      <w:tblGrid>
        <w:gridCol w:w="5271"/>
        <w:gridCol w:w="2659"/>
        <w:gridCol w:w="1132"/>
      </w:tblGrid>
      <w:tr w:rsidTr="00B54255">
        <w:tblPrEx>
          <w:tblW w:w="0" w:type="auto"/>
          <w:shd w:val="solid" w:color="auto" w:fill="auto"/>
          <w:tblLook w:val="04A0"/>
        </w:tblPrEx>
        <w:tc>
          <w:tcPr>
            <w:tcW w:w="5271"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59"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2"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0" w:type="auto"/>
          <w:shd w:val="solid" w:color="auto" w:fill="auto"/>
          <w:tblLook w:val="04A0"/>
        </w:tblPrEx>
        <w:tc>
          <w:tcPr>
            <w:tcW w:w="5271"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Umožňovat stáže osob, které připravují regulaci kapitálového trhu u účastníků kapitálového trhu</w:t>
            </w:r>
          </w:p>
        </w:tc>
        <w:tc>
          <w:tcPr>
            <w:tcW w:w="2659"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ČNB, AKAT, ČBA</w:t>
            </w:r>
          </w:p>
        </w:tc>
        <w:tc>
          <w:tcPr>
            <w:tcW w:w="1132"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9A09A2"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 letech 2019 a 2020 byl zahájeny práce na umožnění stáží regulátorů u regulovaných osob, nicméně příprava těchto stáží byla výrazně zbrzděna z důvodu pandemie COVID-19, která vede k potřebě omezení sociálních kontaktů, kdy navíc řada pracovníků regulátorů i účastníků trhu pracuje z domova. Přípravné práce na těchto stážích budou v rámci možností pokračovat, nicméně v tuto chvíli lze jen obtížně odhadovat</w:t>
      </w:r>
      <w:r w:rsidR="008F3725">
        <w:rPr>
          <w:rFonts w:ascii="Times New Roman" w:hAnsi="Times New Roman" w:cs="Times New Roman"/>
          <w:sz w:val="24"/>
          <w:szCs w:val="24"/>
        </w:rPr>
        <w:t>, kdy je bude možné realizovat.</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25) Sledování kritérií k získání statusu „rozvinutý kapitálový trh“ dle MSCI</w:t>
      </w:r>
    </w:p>
    <w:tbl>
      <w:tblPr>
        <w:tblStyle w:val="Mkatabulky5"/>
        <w:tblW w:w="0" w:type="auto"/>
        <w:shd w:val="solid" w:color="auto" w:fill="auto"/>
        <w:tblLook w:val="04A0"/>
      </w:tblPr>
      <w:tblGrid>
        <w:gridCol w:w="5271"/>
        <w:gridCol w:w="2659"/>
        <w:gridCol w:w="1132"/>
      </w:tblGrid>
      <w:tr w:rsidTr="00B54255">
        <w:tblPrEx>
          <w:tblW w:w="0" w:type="auto"/>
          <w:shd w:val="solid" w:color="auto" w:fill="auto"/>
          <w:tblLook w:val="04A0"/>
        </w:tblPrEx>
        <w:tc>
          <w:tcPr>
            <w:tcW w:w="5271"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59"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2"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0" w:type="auto"/>
          <w:shd w:val="solid" w:color="auto" w:fill="auto"/>
          <w:tblLook w:val="04A0"/>
        </w:tblPrEx>
        <w:tc>
          <w:tcPr>
            <w:tcW w:w="5271"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Sledovat vymezená kritéria v ČR s ohledem na možné budoucí dosažení statusu „rozvinutého kapitálového trhu“ dle indexu MSCI</w:t>
            </w:r>
          </w:p>
        </w:tc>
        <w:tc>
          <w:tcPr>
            <w:tcW w:w="2659"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w:t>
            </w:r>
          </w:p>
        </w:tc>
        <w:tc>
          <w:tcPr>
            <w:tcW w:w="1132"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9A09A2"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Kritéria pro získání statusu „rozvinutý kapitálový trh“ dle MSCI jsou průběžně sledována. Hlavní překážkou se jeví dostatek velkých emisí. V tomto ohledu nelze v dohledné době očekávat výraznější změny, kdy je většinou příchod velkého emitenta na Pražskou burzu kompenzován odchodem jiného velkého emitenta. V tomto ohledu byl kontaktován tvůrce indexu FTSE s žádostí o zvážení zařazení ČR do kategorie rozvinutých trhů, jako se nedávno podařilo Polsku. Podle dostupných informací byla v ČR překážkou neexistence trhů s deriváty, </w:t>
      </w:r>
      <w:r>
        <w:rPr>
          <w:rFonts w:ascii="Times New Roman" w:hAnsi="Times New Roman" w:cs="Times New Roman"/>
          <w:sz w:val="24"/>
          <w:szCs w:val="24"/>
        </w:rPr>
        <w:t>repo</w:t>
      </w:r>
      <w:r>
        <w:rPr>
          <w:rFonts w:ascii="Times New Roman" w:hAnsi="Times New Roman" w:cs="Times New Roman"/>
          <w:sz w:val="24"/>
          <w:szCs w:val="24"/>
        </w:rPr>
        <w:t xml:space="preserve"> operace a krátký prodej (</w:t>
      </w:r>
      <w:r>
        <w:rPr>
          <w:rFonts w:ascii="Times New Roman" w:hAnsi="Times New Roman" w:cs="Times New Roman"/>
          <w:sz w:val="24"/>
          <w:szCs w:val="24"/>
        </w:rPr>
        <w:t>short-selling</w:t>
      </w:r>
      <w:r>
        <w:rPr>
          <w:rFonts w:ascii="Times New Roman" w:hAnsi="Times New Roman" w:cs="Times New Roman"/>
          <w:sz w:val="24"/>
          <w:szCs w:val="24"/>
        </w:rPr>
        <w:t>). Nicméně v mezičase došlo ke změně metodiky a nyní je (obdobně jako u MSCI) překážkou malý počet velkých emisí. Do budoucna je vhodné tato kritéria dále sledovat</w:t>
      </w:r>
      <w:r w:rsidR="00A41926">
        <w:rPr>
          <w:rFonts w:ascii="Times New Roman" w:hAnsi="Times New Roman" w:cs="Times New Roman"/>
          <w:sz w:val="24"/>
          <w:szCs w:val="24"/>
        </w:rPr>
        <w:t xml:space="preserve"> a v případě pozitivního vývoje se pokusit o získání statusu „rozvinutý kapitálový trh“. Získání tohoto statusu by bylo velkým přínosem pro prestiž českého kapitálového trhu v očích zahraniční veřejnosti.</w:t>
      </w:r>
    </w:p>
    <w:p w:rsidR="00B54255" w:rsidRPr="005F45F5" w:rsidP="00867155">
      <w:pPr>
        <w:spacing w:before="120" w:after="120" w:line="240" w:lineRule="auto"/>
        <w:jc w:val="center"/>
        <w:rPr>
          <w:rFonts w:ascii="Times New Roman" w:hAnsi="Times New Roman" w:cs="Times New Roman"/>
          <w:b/>
          <w:i/>
          <w:sz w:val="24"/>
          <w:szCs w:val="24"/>
        </w:rPr>
      </w:pPr>
      <w:r w:rsidRPr="005F45F5">
        <w:rPr>
          <w:rFonts w:ascii="Times New Roman" w:hAnsi="Times New Roman" w:cs="Times New Roman"/>
          <w:b/>
          <w:i/>
          <w:sz w:val="24"/>
          <w:szCs w:val="24"/>
        </w:rPr>
        <w:t>26) Vzdělávání státem ovládaných společnosti o možnostech financování se přes kapitálový trh</w:t>
      </w:r>
    </w:p>
    <w:tbl>
      <w:tblPr>
        <w:tblStyle w:val="Mkatabulky3"/>
        <w:tblW w:w="9180" w:type="dxa"/>
        <w:shd w:val="solid" w:color="auto" w:fill="auto"/>
        <w:tblLayout w:type="fixed"/>
        <w:tblLook w:val="04A0"/>
      </w:tblPr>
      <w:tblGrid>
        <w:gridCol w:w="5353"/>
        <w:gridCol w:w="2693"/>
        <w:gridCol w:w="1134"/>
      </w:tblGrid>
      <w:tr w:rsidTr="00B54255">
        <w:tblPrEx>
          <w:tblW w:w="9180" w:type="dxa"/>
          <w:shd w:val="solid" w:color="auto" w:fill="auto"/>
          <w:tblLayout w:type="fixed"/>
          <w:tblLook w:val="04A0"/>
        </w:tblPrEx>
        <w:tc>
          <w:tcPr>
            <w:tcW w:w="5353"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9180" w:type="dxa"/>
          <w:shd w:val="solid" w:color="auto" w:fill="auto"/>
          <w:tblLayout w:type="fixed"/>
          <w:tblLook w:val="04A0"/>
        </w:tblPrEx>
        <w:tc>
          <w:tcPr>
            <w:tcW w:w="5353"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Vzdělávat státem ovládané společnosti o možnostech financování se přes kapitálový trh</w:t>
            </w:r>
          </w:p>
        </w:tc>
        <w:tc>
          <w:tcPr>
            <w:tcW w:w="2693"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ostatní dotčená ministerstva</w:t>
            </w:r>
          </w:p>
        </w:tc>
        <w:tc>
          <w:tcPr>
            <w:tcW w:w="1134"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9A09A2" w:rsidRPr="007471AF"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Státem ovládané společnosti využívají kapitálový trh ke svému financování zejména prostřednictvím emisí dluhopisů. V tomto ohledu se neliší od běžných korporací a projekt Kapitalovypruvodce.cz popsaný v rámci opatření č. 7 bude využitelný i pro ně. V současné době není uvažováno o nabízení podílů na kapitálu těchto společností</w:t>
      </w:r>
      <w:r w:rsidR="003B187F">
        <w:rPr>
          <w:rFonts w:ascii="Times New Roman" w:hAnsi="Times New Roman" w:cs="Times New Roman"/>
          <w:sz w:val="24"/>
          <w:szCs w:val="24"/>
        </w:rPr>
        <w:t>.</w:t>
      </w:r>
    </w:p>
    <w:p w:rsidR="00B54255" w:rsidRPr="005F45F5" w:rsidP="00867155">
      <w:pPr>
        <w:spacing w:before="120" w:after="120" w:line="240" w:lineRule="auto"/>
        <w:jc w:val="center"/>
        <w:rPr>
          <w:rFonts w:ascii="Times New Roman" w:hAnsi="Times New Roman" w:eastAsiaTheme="majorEastAsia" w:cs="Times New Roman"/>
          <w:b/>
          <w:bCs/>
          <w:color w:val="FFFFFF" w:themeColor="background1"/>
        </w:rPr>
      </w:pPr>
      <w:r w:rsidRPr="005F45F5">
        <w:rPr>
          <w:rFonts w:ascii="Times New Roman" w:hAnsi="Times New Roman" w:cs="Times New Roman"/>
          <w:b/>
          <w:i/>
          <w:sz w:val="24"/>
          <w:szCs w:val="24"/>
        </w:rPr>
        <w:t>27) Zpřístupnění překladů právních předpisů upravujících kapitálový trh do anglického jazyka</w:t>
      </w:r>
    </w:p>
    <w:tbl>
      <w:tblPr>
        <w:tblStyle w:val="Mkatabulky3"/>
        <w:tblW w:w="9180" w:type="dxa"/>
        <w:shd w:val="solid" w:color="auto" w:fill="auto"/>
        <w:tblLayout w:type="fixed"/>
        <w:tblLook w:val="04A0"/>
      </w:tblPr>
      <w:tblGrid>
        <w:gridCol w:w="5353"/>
        <w:gridCol w:w="2693"/>
        <w:gridCol w:w="1134"/>
      </w:tblGrid>
      <w:tr w:rsidTr="00B54255">
        <w:tblPrEx>
          <w:tblW w:w="9180" w:type="dxa"/>
          <w:shd w:val="solid" w:color="auto" w:fill="auto"/>
          <w:tblLayout w:type="fixed"/>
          <w:tblLook w:val="04A0"/>
        </w:tblPrEx>
        <w:tc>
          <w:tcPr>
            <w:tcW w:w="5353"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PLÁN</w:t>
            </w:r>
          </w:p>
        </w:tc>
        <w:tc>
          <w:tcPr>
            <w:tcW w:w="2693"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DOTČENÉ SUBJEKTY</w:t>
            </w:r>
          </w:p>
        </w:tc>
        <w:tc>
          <w:tcPr>
            <w:tcW w:w="1134" w:type="dxa"/>
            <w:shd w:val="clear" w:color="auto" w:fill="002060"/>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TERMÍN</w:t>
            </w:r>
          </w:p>
        </w:tc>
      </w:tr>
      <w:tr w:rsidTr="00B54255">
        <w:tblPrEx>
          <w:tblW w:w="9180" w:type="dxa"/>
          <w:shd w:val="solid" w:color="auto" w:fill="auto"/>
          <w:tblLayout w:type="fixed"/>
          <w:tblLook w:val="04A0"/>
        </w:tblPrEx>
        <w:trPr>
          <w:trHeight w:val="623"/>
        </w:trPr>
        <w:tc>
          <w:tcPr>
            <w:tcW w:w="5353" w:type="dxa"/>
            <w:shd w:val="clear" w:color="auto" w:fill="auto"/>
          </w:tcPr>
          <w:p w:rsidR="00B54255" w:rsidRPr="00867155" w:rsidP="002D7C06">
            <w:pPr>
              <w:rPr>
                <w:rFonts w:ascii="Times New Roman" w:hAnsi="Times New Roman" w:cs="Times New Roman"/>
                <w:sz w:val="20"/>
                <w:szCs w:val="20"/>
              </w:rPr>
            </w:pPr>
            <w:r w:rsidRPr="00867155">
              <w:rPr>
                <w:rFonts w:ascii="Times New Roman" w:hAnsi="Times New Roman" w:cs="Times New Roman"/>
                <w:sz w:val="20"/>
                <w:szCs w:val="20"/>
              </w:rPr>
              <w:t>Zajistit dostupnost aktuálních znění právních předpisů upravujících kapitálový trh v anglickém jazyce</w:t>
            </w:r>
          </w:p>
        </w:tc>
        <w:tc>
          <w:tcPr>
            <w:tcW w:w="2693"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MF, ČNB</w:t>
            </w:r>
          </w:p>
        </w:tc>
        <w:tc>
          <w:tcPr>
            <w:tcW w:w="1134" w:type="dxa"/>
            <w:shd w:val="clear" w:color="auto" w:fill="auto"/>
          </w:tcPr>
          <w:p w:rsidR="00B54255" w:rsidRPr="00867155" w:rsidP="002D7C06">
            <w:pPr>
              <w:jc w:val="center"/>
              <w:rPr>
                <w:rFonts w:ascii="Times New Roman" w:hAnsi="Times New Roman" w:cs="Times New Roman"/>
                <w:sz w:val="20"/>
                <w:szCs w:val="20"/>
              </w:rPr>
            </w:pPr>
            <w:r w:rsidRPr="00867155">
              <w:rPr>
                <w:rFonts w:ascii="Times New Roman" w:hAnsi="Times New Roman" w:cs="Times New Roman"/>
                <w:sz w:val="20"/>
                <w:szCs w:val="20"/>
              </w:rPr>
              <w:t>průběžně</w:t>
            </w:r>
          </w:p>
        </w:tc>
      </w:tr>
    </w:tbl>
    <w:p w:rsidR="008B205B" w:rsidP="0086715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MF v letech 2019 a 2020 publikovalo překlady hlavních právních předpisů upravujících kapitálový trh, a to včetně jejich aktualizací reagujících na nedávno přijaté zákony. Takto byla publikována </w:t>
      </w:r>
      <w:r>
        <w:fldChar w:fldCharType="begin"/>
      </w:r>
      <w:r>
        <w:instrText xml:space="preserve"> HYPERLINK "https://www.mfcr.cz/en/themes/capital-market/capital-market-in-the-czech-republic/updated-english-translations-of-the-capi-38951" </w:instrText>
      </w:r>
      <w:r>
        <w:fldChar w:fldCharType="separate"/>
      </w:r>
      <w:r w:rsidRPr="003B187F">
        <w:rPr>
          <w:rStyle w:val="Hyperlink"/>
          <w:rFonts w:ascii="Times New Roman" w:hAnsi="Times New Roman" w:cs="Times New Roman"/>
          <w:sz w:val="24"/>
          <w:szCs w:val="24"/>
        </w:rPr>
        <w:t>aktualizace překladů</w:t>
      </w:r>
      <w:r>
        <w:fldChar w:fldCharType="end"/>
      </w:r>
      <w:r w:rsidR="001A2152">
        <w:rPr>
          <w:rStyle w:val="Hyperlink"/>
          <w:rFonts w:ascii="Times New Roman" w:hAnsi="Times New Roman" w:cs="Times New Roman"/>
          <w:color w:val="auto"/>
          <w:sz w:val="24"/>
          <w:szCs w:val="24"/>
          <w:u w:val="none"/>
          <w:vertAlign w:val="superscript"/>
        </w:rPr>
        <w:t>104</w:t>
      </w:r>
      <w:r w:rsidRPr="00F261B8" w:rsidR="001A215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zákona o podnikání na </w:t>
      </w:r>
      <w:r w:rsidR="0059110C">
        <w:rPr>
          <w:rFonts w:ascii="Times New Roman" w:hAnsi="Times New Roman" w:cs="Times New Roman"/>
          <w:sz w:val="24"/>
          <w:szCs w:val="24"/>
        </w:rPr>
        <w:t>kapitálovém trhu a zákona a o </w:t>
      </w:r>
      <w:r>
        <w:rPr>
          <w:rFonts w:ascii="Times New Roman" w:hAnsi="Times New Roman" w:cs="Times New Roman"/>
          <w:sz w:val="24"/>
          <w:szCs w:val="24"/>
        </w:rPr>
        <w:t xml:space="preserve">dluhopisech a jeden překlad </w:t>
      </w:r>
      <w:r>
        <w:fldChar w:fldCharType="begin"/>
      </w:r>
      <w:r>
        <w:instrText xml:space="preserve"> HYPERLINK "https://www.mfcr.cz/en/themes/capital-market/capital-market-in-the-czech-republic/new-english-translation-of-the-act-on-ma-38401" </w:instrText>
      </w:r>
      <w:r>
        <w:fldChar w:fldCharType="separate"/>
      </w:r>
      <w:r w:rsidRPr="003B187F">
        <w:rPr>
          <w:rStyle w:val="Hyperlink"/>
          <w:rFonts w:ascii="Times New Roman" w:hAnsi="Times New Roman" w:cs="Times New Roman"/>
          <w:sz w:val="24"/>
          <w:szCs w:val="24"/>
        </w:rPr>
        <w:t>zákona o investičních společnostech a investičních fondech</w:t>
      </w:r>
      <w:r>
        <w:fldChar w:fldCharType="end"/>
      </w:r>
      <w:r w:rsidR="001A2152">
        <w:rPr>
          <w:rStyle w:val="Hyperlink"/>
          <w:rFonts w:ascii="Times New Roman" w:hAnsi="Times New Roman" w:cs="Times New Roman"/>
          <w:color w:val="auto"/>
          <w:sz w:val="24"/>
          <w:szCs w:val="24"/>
          <w:u w:val="none"/>
          <w:vertAlign w:val="superscript"/>
        </w:rPr>
        <w:t>105</w:t>
      </w:r>
      <w:r w:rsidRPr="00F261B8" w:rsidR="001A215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 xml:space="preserve"> (nahrazující dřívější překlad zajištěný účastníky trhu). Do anglického jazyka byl přeložen i </w:t>
      </w:r>
      <w:r>
        <w:fldChar w:fldCharType="begin"/>
      </w:r>
      <w:r>
        <w:instrText xml:space="preserve"> HYPERLINK "https://www.mfcr.cz/en/themes/capital-market/capital-market-in-the-czech-republic/initiation-of-an-inter-ministerial-comme-38422" </w:instrText>
      </w:r>
      <w:r>
        <w:fldChar w:fldCharType="separate"/>
      </w:r>
      <w:r w:rsidRPr="0059110C">
        <w:rPr>
          <w:rStyle w:val="Hyperlink"/>
          <w:rFonts w:ascii="Times New Roman" w:hAnsi="Times New Roman" w:cs="Times New Roman"/>
          <w:sz w:val="24"/>
          <w:szCs w:val="24"/>
        </w:rPr>
        <w:t xml:space="preserve">návrh </w:t>
      </w:r>
      <w:r w:rsidR="00F44E12">
        <w:rPr>
          <w:rStyle w:val="Hyperlink"/>
          <w:rFonts w:ascii="Times New Roman" w:hAnsi="Times New Roman" w:cs="Times New Roman"/>
          <w:sz w:val="24"/>
          <w:szCs w:val="24"/>
        </w:rPr>
        <w:t>k</w:t>
      </w:r>
      <w:r w:rsidRPr="0059110C">
        <w:rPr>
          <w:rStyle w:val="Hyperlink"/>
          <w:rFonts w:ascii="Times New Roman" w:hAnsi="Times New Roman" w:cs="Times New Roman"/>
          <w:sz w:val="24"/>
          <w:szCs w:val="24"/>
        </w:rPr>
        <w:t>oncepční novely</w:t>
      </w:r>
      <w:r>
        <w:fldChar w:fldCharType="end"/>
      </w:r>
      <w:r w:rsidR="001A2152">
        <w:rPr>
          <w:rStyle w:val="Hyperlink"/>
          <w:rFonts w:ascii="Times New Roman" w:hAnsi="Times New Roman" w:cs="Times New Roman"/>
          <w:color w:val="auto"/>
          <w:sz w:val="24"/>
          <w:szCs w:val="24"/>
          <w:u w:val="none"/>
          <w:vertAlign w:val="superscript"/>
        </w:rPr>
        <w:t>106</w:t>
      </w:r>
      <w:r w:rsidRPr="00F261B8" w:rsidR="001A2152">
        <w:rPr>
          <w:rStyle w:val="Hyperlink"/>
          <w:rFonts w:ascii="Times New Roman" w:hAnsi="Times New Roman" w:cs="Times New Roman"/>
          <w:color w:val="auto"/>
          <w:sz w:val="24"/>
          <w:szCs w:val="24"/>
          <w:u w:val="none"/>
          <w:vertAlign w:val="superscript"/>
        </w:rPr>
        <w:t>)</w:t>
      </w:r>
      <w:r>
        <w:rPr>
          <w:rFonts w:ascii="Times New Roman" w:hAnsi="Times New Roman" w:cs="Times New Roman"/>
          <w:sz w:val="24"/>
          <w:szCs w:val="24"/>
        </w:rPr>
        <w:t>.</w:t>
      </w:r>
    </w:p>
    <w:p w:rsidR="008B205B" w:rsidRPr="00BB4EA3" w:rsidP="007471AF">
      <w:pPr>
        <w:tabs>
          <w:tab w:val="center" w:pos="4536"/>
          <w:tab w:val="left" w:pos="7970"/>
        </w:tabs>
        <w:spacing w:before="120" w:after="120" w:line="240" w:lineRule="auto"/>
        <w:jc w:val="center"/>
        <w:rPr>
          <w:rFonts w:ascii="Times New Roman" w:hAnsi="Times New Roman" w:cs="Times New Roman"/>
          <w:b/>
          <w:sz w:val="24"/>
          <w:szCs w:val="24"/>
          <w:u w:val="single"/>
        </w:rPr>
      </w:pPr>
      <w:r w:rsidRPr="00BB4EA3">
        <w:rPr>
          <w:rFonts w:ascii="Times New Roman" w:hAnsi="Times New Roman" w:cs="Times New Roman"/>
          <w:b/>
          <w:sz w:val="24"/>
          <w:szCs w:val="24"/>
          <w:u w:val="single"/>
        </w:rPr>
        <w:t>I</w:t>
      </w:r>
      <w:r>
        <w:rPr>
          <w:rFonts w:ascii="Times New Roman" w:hAnsi="Times New Roman" w:cs="Times New Roman"/>
          <w:b/>
          <w:sz w:val="24"/>
          <w:szCs w:val="24"/>
          <w:u w:val="single"/>
        </w:rPr>
        <w:t>II</w:t>
      </w:r>
      <w:r w:rsidRPr="00BB4EA3">
        <w:rPr>
          <w:rFonts w:ascii="Times New Roman" w:hAnsi="Times New Roman" w:cs="Times New Roman"/>
          <w:b/>
          <w:sz w:val="24"/>
          <w:szCs w:val="24"/>
          <w:u w:val="single"/>
        </w:rPr>
        <w:t xml:space="preserve">. </w:t>
      </w:r>
      <w:r>
        <w:rPr>
          <w:rFonts w:ascii="Times New Roman" w:hAnsi="Times New Roman" w:cs="Times New Roman"/>
          <w:b/>
          <w:sz w:val="24"/>
          <w:szCs w:val="24"/>
          <w:u w:val="single"/>
        </w:rPr>
        <w:t>Změny ve sledovaných ukazatelích v letech 2019 a 2020</w:t>
      </w:r>
    </w:p>
    <w:p w:rsidR="008B205B" w:rsidRPr="008B205B" w:rsidP="00867155">
      <w:pPr>
        <w:spacing w:before="120"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1) </w:t>
      </w:r>
      <w:r w:rsidRPr="008B205B">
        <w:rPr>
          <w:rFonts w:ascii="Times New Roman" w:hAnsi="Times New Roman" w:cs="Times New Roman"/>
          <w:b/>
          <w:i/>
          <w:sz w:val="24"/>
          <w:szCs w:val="24"/>
        </w:rPr>
        <w:t xml:space="preserve">Vývoj tržní kapitalizace </w:t>
      </w:r>
      <w:r w:rsidR="00F44E12">
        <w:rPr>
          <w:rFonts w:ascii="Times New Roman" w:hAnsi="Times New Roman" w:cs="Times New Roman"/>
          <w:b/>
          <w:i/>
          <w:sz w:val="24"/>
          <w:szCs w:val="24"/>
        </w:rPr>
        <w:t>p</w:t>
      </w:r>
      <w:r w:rsidR="0059110C">
        <w:rPr>
          <w:rFonts w:ascii="Times New Roman" w:hAnsi="Times New Roman" w:cs="Times New Roman"/>
          <w:b/>
          <w:i/>
          <w:sz w:val="24"/>
          <w:szCs w:val="24"/>
        </w:rPr>
        <w:t>ražské burzy</w:t>
      </w:r>
    </w:p>
    <w:p w:rsidR="008B205B" w:rsidRPr="008B205B" w:rsidP="00847BA5">
      <w:pPr>
        <w:spacing w:before="160"/>
        <w:jc w:val="both"/>
        <w:rPr>
          <w:rFonts w:ascii="Times New Roman" w:hAnsi="Times New Roman" w:cs="Times New Roman"/>
          <w:sz w:val="24"/>
          <w:szCs w:val="24"/>
        </w:rPr>
      </w:pPr>
      <w:r w:rsidRPr="008B205B">
        <w:rPr>
          <w:rFonts w:ascii="Times New Roman" w:hAnsi="Times New Roman" w:cs="Times New Roman"/>
          <w:sz w:val="24"/>
          <w:szCs w:val="24"/>
        </w:rPr>
        <w:t>Co se týče vývoje tržní kapitalizace Burzy cenných papírů Praha</w:t>
      </w:r>
      <w:r w:rsidR="0059110C">
        <w:rPr>
          <w:rFonts w:ascii="Times New Roman" w:hAnsi="Times New Roman" w:cs="Times New Roman"/>
          <w:sz w:val="24"/>
          <w:szCs w:val="24"/>
        </w:rPr>
        <w:t xml:space="preserve"> (dále jen „</w:t>
      </w:r>
      <w:r w:rsidRPr="0059110C" w:rsidR="0059110C">
        <w:rPr>
          <w:rFonts w:ascii="Times New Roman" w:hAnsi="Times New Roman" w:cs="Times New Roman"/>
          <w:b/>
          <w:sz w:val="24"/>
          <w:szCs w:val="24"/>
        </w:rPr>
        <w:t>BCPP</w:t>
      </w:r>
      <w:r w:rsidR="0059110C">
        <w:rPr>
          <w:rFonts w:ascii="Times New Roman" w:hAnsi="Times New Roman" w:cs="Times New Roman"/>
          <w:sz w:val="24"/>
          <w:szCs w:val="24"/>
        </w:rPr>
        <w:t>“)</w:t>
      </w:r>
      <w:r w:rsidRPr="008B205B">
        <w:rPr>
          <w:rFonts w:ascii="Times New Roman" w:hAnsi="Times New Roman" w:cs="Times New Roman"/>
          <w:sz w:val="24"/>
          <w:szCs w:val="24"/>
        </w:rPr>
        <w:t>, tak tu je možné sledovat v Grafu 1 a Tabulce 1 níže.</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Graf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Graf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1</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Vývoj tržní kapitalizace BCPP</w:t>
      </w:r>
    </w:p>
    <w:p w:rsidR="008B205B" w:rsidRPr="008B205B" w:rsidP="00847BA5">
      <w:pPr>
        <w:spacing w:before="160"/>
        <w:rPr>
          <w:rFonts w:ascii="Times New Roman" w:hAnsi="Times New Roman" w:cs="Times New Roman"/>
          <w:sz w:val="24"/>
          <w:szCs w:val="24"/>
        </w:rPr>
      </w:pPr>
      <w:r w:rsidRPr="008B205B">
        <w:rPr>
          <w:rFonts w:ascii="Times New Roman" w:hAnsi="Times New Roman" w:cs="Times New Roman"/>
          <w:noProof/>
          <w:sz w:val="24"/>
          <w:szCs w:val="24"/>
          <w:lang w:eastAsia="cs-CZ"/>
        </w:rPr>
        <w:drawing>
          <wp:inline distT="0" distB="0" distL="0" distR="0">
            <wp:extent cx="5713095" cy="2743200"/>
            <wp:effectExtent l="0" t="0" r="190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B205B" w:rsidRPr="00D834D3" w:rsidP="00454A7C">
      <w:pPr>
        <w:pStyle w:val="Caption"/>
        <w:spacing w:before="160" w:after="160"/>
        <w:jc w:val="left"/>
        <w:rPr>
          <w:rFonts w:ascii="Times New Roman" w:hAnsi="Times New Roman" w:cs="Times New Roman"/>
          <w:color w:val="auto"/>
          <w:sz w:val="22"/>
          <w:szCs w:val="24"/>
        </w:rPr>
      </w:pPr>
      <w:r w:rsidRPr="00454A7C">
        <w:rPr>
          <w:rFonts w:ascii="Times New Roman" w:hAnsi="Times New Roman" w:cs="Times New Roman"/>
          <w:color w:val="auto"/>
          <w:sz w:val="22"/>
          <w:szCs w:val="24"/>
        </w:rPr>
        <w:t>Zdroj: BCPP</w:t>
      </w:r>
      <w:r w:rsidR="00454A7C">
        <w:rPr>
          <w:rFonts w:ascii="Times New Roman" w:hAnsi="Times New Roman" w:cs="Times New Roman"/>
          <w:color w:val="auto"/>
          <w:sz w:val="22"/>
          <w:szCs w:val="24"/>
        </w:rPr>
        <w:t xml:space="preserve"> (zpracování MF)</w:t>
      </w:r>
    </w:p>
    <w:p w:rsidR="008B205B" w:rsidRPr="008B205B" w:rsidP="00454A7C">
      <w:pPr>
        <w:pStyle w:val="Caption"/>
        <w:keepNext/>
        <w:spacing w:before="160" w:after="160"/>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Tabulka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Tabulka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1</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Vývoj tržní kapitalizace BCPP</w:t>
      </w:r>
    </w:p>
    <w:tbl>
      <w:tblPr>
        <w:tblW w:w="8977" w:type="dxa"/>
        <w:jc w:val="center"/>
        <w:tblCellMar>
          <w:left w:w="70" w:type="dxa"/>
          <w:right w:w="70" w:type="dxa"/>
        </w:tblCellMar>
        <w:tblLook w:val="04A0"/>
      </w:tblPr>
      <w:tblGrid>
        <w:gridCol w:w="3903"/>
        <w:gridCol w:w="1556"/>
        <w:gridCol w:w="1759"/>
        <w:gridCol w:w="1759"/>
      </w:tblGrid>
      <w:tr w:rsidTr="008B205B">
        <w:tblPrEx>
          <w:tblW w:w="8977" w:type="dxa"/>
          <w:jc w:val="center"/>
          <w:tblCellMar>
            <w:left w:w="70" w:type="dxa"/>
            <w:right w:w="70" w:type="dxa"/>
          </w:tblCellMar>
          <w:tblLook w:val="04A0"/>
        </w:tblPrEx>
        <w:trPr>
          <w:trHeight w:val="296"/>
          <w:jc w:val="center"/>
        </w:trPr>
        <w:tc>
          <w:tcPr>
            <w:tcW w:w="3903" w:type="dxa"/>
            <w:tcBorders>
              <w:top w:val="nil"/>
              <w:left w:val="nil"/>
              <w:bottom w:val="nil"/>
              <w:right w:val="nil"/>
            </w:tcBorders>
            <w:shd w:val="clear" w:color="000000" w:fill="002060"/>
            <w:noWrap/>
            <w:vAlign w:val="bottom"/>
            <w:hideMark/>
          </w:tcPr>
          <w:p w:rsidR="008B205B" w:rsidRPr="008B205B" w:rsidP="00454A7C">
            <w:pPr>
              <w:spacing w:after="0" w:line="240" w:lineRule="auto"/>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Tržní kapitalizace v mil. Kč</w:t>
            </w:r>
          </w:p>
        </w:tc>
        <w:tc>
          <w:tcPr>
            <w:tcW w:w="1556" w:type="dxa"/>
            <w:tcBorders>
              <w:top w:val="nil"/>
              <w:left w:val="nil"/>
              <w:bottom w:val="nil"/>
              <w:right w:val="nil"/>
            </w:tcBorders>
            <w:shd w:val="clear" w:color="000000" w:fill="002060"/>
            <w:noWrap/>
            <w:vAlign w:val="bottom"/>
            <w:hideMark/>
          </w:tcPr>
          <w:p w:rsidR="008B205B" w:rsidRPr="008B205B" w:rsidP="00454A7C">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2018</w:t>
            </w:r>
          </w:p>
        </w:tc>
        <w:tc>
          <w:tcPr>
            <w:tcW w:w="1759" w:type="dxa"/>
            <w:tcBorders>
              <w:top w:val="nil"/>
              <w:left w:val="nil"/>
              <w:bottom w:val="nil"/>
              <w:right w:val="nil"/>
            </w:tcBorders>
            <w:shd w:val="clear" w:color="000000" w:fill="002060"/>
            <w:noWrap/>
            <w:vAlign w:val="bottom"/>
            <w:hideMark/>
          </w:tcPr>
          <w:p w:rsidR="008B205B" w:rsidRPr="008B205B" w:rsidP="00454A7C">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2019</w:t>
            </w:r>
          </w:p>
        </w:tc>
        <w:tc>
          <w:tcPr>
            <w:tcW w:w="1759" w:type="dxa"/>
            <w:tcBorders>
              <w:top w:val="nil"/>
              <w:left w:val="nil"/>
              <w:bottom w:val="nil"/>
              <w:right w:val="nil"/>
            </w:tcBorders>
            <w:shd w:val="clear" w:color="000000" w:fill="002060"/>
            <w:noWrap/>
            <w:vAlign w:val="bottom"/>
            <w:hideMark/>
          </w:tcPr>
          <w:p w:rsidR="008B205B" w:rsidRPr="008B205B" w:rsidP="00454A7C">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11/2020</w:t>
            </w:r>
          </w:p>
        </w:tc>
      </w:tr>
      <w:tr w:rsidTr="008B205B">
        <w:tblPrEx>
          <w:tblW w:w="8977" w:type="dxa"/>
          <w:jc w:val="center"/>
          <w:tblCellMar>
            <w:left w:w="70" w:type="dxa"/>
            <w:right w:w="70" w:type="dxa"/>
          </w:tblCellMar>
          <w:tblLook w:val="04A0"/>
        </w:tblPrEx>
        <w:trPr>
          <w:trHeight w:val="296"/>
          <w:jc w:val="center"/>
        </w:trPr>
        <w:tc>
          <w:tcPr>
            <w:tcW w:w="3903"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Trh Prime a </w:t>
            </w:r>
            <w:r w:rsidR="001D6501">
              <w:rPr>
                <w:rFonts w:ascii="Times New Roman" w:eastAsia="Times New Roman" w:hAnsi="Times New Roman" w:cs="Times New Roman"/>
                <w:color w:val="000000"/>
                <w:sz w:val="24"/>
                <w:szCs w:val="24"/>
                <w:lang w:eastAsia="cs-CZ"/>
              </w:rPr>
              <w:t>S</w:t>
            </w:r>
            <w:r w:rsidRPr="008B205B">
              <w:rPr>
                <w:rFonts w:ascii="Times New Roman" w:eastAsia="Times New Roman" w:hAnsi="Times New Roman" w:cs="Times New Roman"/>
                <w:color w:val="000000"/>
                <w:sz w:val="24"/>
                <w:szCs w:val="24"/>
                <w:lang w:eastAsia="cs-CZ"/>
              </w:rPr>
              <w:t>tandard</w:t>
            </w:r>
          </w:p>
        </w:tc>
        <w:tc>
          <w:tcPr>
            <w:tcW w:w="1556"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1,044,594</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1,247,543</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1,068,673</w:t>
            </w:r>
          </w:p>
        </w:tc>
      </w:tr>
      <w:tr w:rsidTr="008B205B">
        <w:tblPrEx>
          <w:tblW w:w="8977" w:type="dxa"/>
          <w:jc w:val="center"/>
          <w:tblCellMar>
            <w:left w:w="70" w:type="dxa"/>
            <w:right w:w="70" w:type="dxa"/>
          </w:tblCellMar>
          <w:tblLook w:val="04A0"/>
        </w:tblPrEx>
        <w:trPr>
          <w:trHeight w:val="296"/>
          <w:jc w:val="center"/>
        </w:trPr>
        <w:tc>
          <w:tcPr>
            <w:tcW w:w="3903"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Trh Start</w:t>
            </w:r>
          </w:p>
        </w:tc>
        <w:tc>
          <w:tcPr>
            <w:tcW w:w="1556"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2,329</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2,586</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4,284</w:t>
            </w:r>
          </w:p>
        </w:tc>
      </w:tr>
      <w:tr w:rsidTr="008B205B">
        <w:tblPrEx>
          <w:tblW w:w="8977" w:type="dxa"/>
          <w:jc w:val="center"/>
          <w:tblCellMar>
            <w:left w:w="70" w:type="dxa"/>
            <w:right w:w="70" w:type="dxa"/>
          </w:tblCellMar>
          <w:tblLook w:val="04A0"/>
        </w:tblPrEx>
        <w:trPr>
          <w:trHeight w:val="296"/>
          <w:jc w:val="center"/>
        </w:trPr>
        <w:tc>
          <w:tcPr>
            <w:tcW w:w="3903"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Trh Free</w:t>
            </w:r>
          </w:p>
        </w:tc>
        <w:tc>
          <w:tcPr>
            <w:tcW w:w="1556"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20,215,034</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20,894,090</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12,387,958</w:t>
            </w:r>
          </w:p>
        </w:tc>
      </w:tr>
      <w:tr w:rsidTr="008B205B">
        <w:tblPrEx>
          <w:tblW w:w="8977" w:type="dxa"/>
          <w:jc w:val="center"/>
          <w:tblCellMar>
            <w:left w:w="70" w:type="dxa"/>
            <w:right w:w="70" w:type="dxa"/>
          </w:tblCellMar>
          <w:tblLook w:val="04A0"/>
        </w:tblPrEx>
        <w:trPr>
          <w:trHeight w:val="296"/>
          <w:jc w:val="center"/>
        </w:trPr>
        <w:tc>
          <w:tcPr>
            <w:tcW w:w="3903"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Meziroční změna Prime a Standard</w:t>
            </w:r>
          </w:p>
        </w:tc>
        <w:tc>
          <w:tcPr>
            <w:tcW w:w="1556"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19.43 %</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-14.34 %</w:t>
            </w:r>
          </w:p>
        </w:tc>
      </w:tr>
      <w:tr w:rsidTr="008B205B">
        <w:tblPrEx>
          <w:tblW w:w="8977" w:type="dxa"/>
          <w:jc w:val="center"/>
          <w:tblCellMar>
            <w:left w:w="70" w:type="dxa"/>
            <w:right w:w="70" w:type="dxa"/>
          </w:tblCellMar>
          <w:tblLook w:val="04A0"/>
        </w:tblPrEx>
        <w:trPr>
          <w:trHeight w:val="296"/>
          <w:jc w:val="center"/>
        </w:trPr>
        <w:tc>
          <w:tcPr>
            <w:tcW w:w="3903"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Meziroční změna Start</w:t>
            </w:r>
          </w:p>
        </w:tc>
        <w:tc>
          <w:tcPr>
            <w:tcW w:w="1556"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11.03 %</w:t>
            </w:r>
          </w:p>
        </w:tc>
        <w:tc>
          <w:tcPr>
            <w:tcW w:w="1759"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65.66 %</w:t>
            </w:r>
          </w:p>
        </w:tc>
      </w:tr>
    </w:tbl>
    <w:p w:rsidR="008B205B" w:rsidRPr="00454A7C" w:rsidP="00454A7C">
      <w:pPr>
        <w:pStyle w:val="Caption"/>
        <w:spacing w:before="160" w:after="160"/>
        <w:jc w:val="left"/>
        <w:rPr>
          <w:rFonts w:ascii="Times New Roman" w:hAnsi="Times New Roman" w:cs="Times New Roman"/>
          <w:color w:val="auto"/>
          <w:sz w:val="22"/>
          <w:szCs w:val="24"/>
          <w:lang w:val="en-GB"/>
        </w:rPr>
      </w:pPr>
      <w:r w:rsidRPr="00454A7C">
        <w:rPr>
          <w:rFonts w:ascii="Times New Roman" w:hAnsi="Times New Roman" w:cs="Times New Roman"/>
          <w:color w:val="auto"/>
          <w:sz w:val="22"/>
          <w:szCs w:val="24"/>
        </w:rPr>
        <w:t>Zdroj: BCPP</w:t>
      </w:r>
      <w:r w:rsidR="00454A7C">
        <w:rPr>
          <w:rFonts w:ascii="Times New Roman" w:hAnsi="Times New Roman" w:cs="Times New Roman"/>
          <w:color w:val="auto"/>
          <w:sz w:val="22"/>
          <w:szCs w:val="24"/>
        </w:rPr>
        <w:t xml:space="preserve"> (zpracování MF)</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 xml:space="preserve">V prvé řadě je důležité objasnit řádek Trhu Free v Tabulce 1. Jedná se o trh, na kterém se obchodují zahraniční „blue </w:t>
      </w:r>
      <w:r w:rsidRPr="008B205B">
        <w:rPr>
          <w:rFonts w:ascii="Times New Roman" w:hAnsi="Times New Roman" w:cs="Times New Roman"/>
          <w:sz w:val="24"/>
          <w:szCs w:val="24"/>
        </w:rPr>
        <w:t>chips</w:t>
      </w:r>
      <w:r w:rsidRPr="008B205B">
        <w:rPr>
          <w:rFonts w:ascii="Times New Roman" w:hAnsi="Times New Roman" w:cs="Times New Roman"/>
          <w:sz w:val="24"/>
          <w:szCs w:val="24"/>
        </w:rPr>
        <w:t>“ společnosti (např. Skanska), které jsou doplňkem, poskytovaným BCPP, pro tuzemské investory. Nejedná se o reálnou kapitalizaci pro český trh, a tudíž tento trh v Grafu 1 ani není uveden a v Tabulce 1 je tento údaj poskytnutý jen pro informaci.</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 xml:space="preserve">Při pohledu na Graf 1 a Tabulku 1 je dále patrné, že tržní kapitalizace trhu Prime a Standard nejdříve v roce 2019 meziročně vzrostla o 19,43 % na hodnotu 1,2 bilionu Kč, avšak do listopadu roku 2020 naopak o 14,34 % poklesla a činila 1,07 bilionu Kč. Propad v roce 2020 byl zapříčiněn částečně </w:t>
      </w:r>
      <w:r w:rsidRPr="008B205B">
        <w:rPr>
          <w:rFonts w:ascii="Times New Roman" w:hAnsi="Times New Roman" w:cs="Times New Roman"/>
          <w:sz w:val="24"/>
          <w:szCs w:val="24"/>
        </w:rPr>
        <w:t>delistingem</w:t>
      </w:r>
      <w:r w:rsidRPr="008B205B">
        <w:rPr>
          <w:rFonts w:ascii="Times New Roman" w:hAnsi="Times New Roman" w:cs="Times New Roman"/>
          <w:sz w:val="24"/>
          <w:szCs w:val="24"/>
        </w:rPr>
        <w:t xml:space="preserve"> společnosti </w:t>
      </w:r>
      <w:r w:rsidRPr="008B205B">
        <w:rPr>
          <w:rFonts w:ascii="Times New Roman" w:hAnsi="Times New Roman" w:cs="Times New Roman"/>
          <w:sz w:val="24"/>
          <w:szCs w:val="24"/>
        </w:rPr>
        <w:t>Central</w:t>
      </w:r>
      <w:r w:rsidRPr="008B205B">
        <w:rPr>
          <w:rFonts w:ascii="Times New Roman" w:hAnsi="Times New Roman" w:cs="Times New Roman"/>
          <w:sz w:val="24"/>
          <w:szCs w:val="24"/>
        </w:rPr>
        <w:t xml:space="preserve"> </w:t>
      </w:r>
      <w:r w:rsidRPr="008B205B">
        <w:rPr>
          <w:rFonts w:ascii="Times New Roman" w:hAnsi="Times New Roman" w:cs="Times New Roman"/>
          <w:sz w:val="24"/>
          <w:szCs w:val="24"/>
        </w:rPr>
        <w:t>European</w:t>
      </w:r>
      <w:r w:rsidRPr="008B205B">
        <w:rPr>
          <w:rFonts w:ascii="Times New Roman" w:hAnsi="Times New Roman" w:cs="Times New Roman"/>
          <w:sz w:val="24"/>
          <w:szCs w:val="24"/>
        </w:rPr>
        <w:t xml:space="preserve"> Media </w:t>
      </w:r>
      <w:r w:rsidRPr="008B205B">
        <w:rPr>
          <w:rFonts w:ascii="Times New Roman" w:hAnsi="Times New Roman" w:cs="Times New Roman"/>
          <w:sz w:val="24"/>
          <w:szCs w:val="24"/>
        </w:rPr>
        <w:t>Enterprises</w:t>
      </w:r>
      <w:r w:rsidRPr="008B205B">
        <w:rPr>
          <w:rFonts w:ascii="Times New Roman" w:hAnsi="Times New Roman" w:cs="Times New Roman"/>
          <w:sz w:val="24"/>
          <w:szCs w:val="24"/>
        </w:rPr>
        <w:t xml:space="preserve"> Ltd. (CETV), avšak významným faktorem byl rovněž propad cen bank ERSTE Group Bank, Komerční Banky a Moneta Money Bank. Pokud jde o přehled </w:t>
      </w:r>
      <w:r w:rsidRPr="008B205B">
        <w:rPr>
          <w:rFonts w:ascii="Times New Roman" w:hAnsi="Times New Roman" w:cs="Times New Roman"/>
          <w:sz w:val="24"/>
          <w:szCs w:val="24"/>
        </w:rPr>
        <w:t>delistingů</w:t>
      </w:r>
      <w:r w:rsidRPr="008B205B">
        <w:rPr>
          <w:rFonts w:ascii="Times New Roman" w:hAnsi="Times New Roman" w:cs="Times New Roman"/>
          <w:sz w:val="24"/>
          <w:szCs w:val="24"/>
        </w:rPr>
        <w:t xml:space="preserve"> trhů Prime a Standard, tak v roce 2018 došlo na trhu Prime k </w:t>
      </w:r>
      <w:r w:rsidRPr="008B205B">
        <w:rPr>
          <w:rFonts w:ascii="Times New Roman" w:hAnsi="Times New Roman" w:cs="Times New Roman"/>
          <w:sz w:val="24"/>
          <w:szCs w:val="24"/>
        </w:rPr>
        <w:t>delistingu</w:t>
      </w:r>
      <w:r w:rsidRPr="008B205B">
        <w:rPr>
          <w:rFonts w:ascii="Times New Roman" w:hAnsi="Times New Roman" w:cs="Times New Roman"/>
          <w:sz w:val="24"/>
          <w:szCs w:val="24"/>
        </w:rPr>
        <w:t xml:space="preserve"> Fortuna </w:t>
      </w:r>
      <w:r w:rsidRPr="008B205B">
        <w:rPr>
          <w:rFonts w:ascii="Times New Roman" w:hAnsi="Times New Roman" w:cs="Times New Roman"/>
          <w:sz w:val="24"/>
          <w:szCs w:val="24"/>
        </w:rPr>
        <w:t>Entertainment</w:t>
      </w:r>
      <w:r w:rsidRPr="008B205B">
        <w:rPr>
          <w:rFonts w:ascii="Times New Roman" w:hAnsi="Times New Roman" w:cs="Times New Roman"/>
          <w:sz w:val="24"/>
          <w:szCs w:val="24"/>
        </w:rPr>
        <w:t xml:space="preserve"> Group </w:t>
      </w:r>
      <w:r w:rsidRPr="008B205B">
        <w:rPr>
          <w:rFonts w:ascii="Times New Roman" w:hAnsi="Times New Roman" w:cs="Times New Roman"/>
          <w:sz w:val="24"/>
          <w:szCs w:val="24"/>
        </w:rPr>
        <w:t>N.V. a Unipetrol</w:t>
      </w:r>
      <w:r w:rsidRPr="008B205B">
        <w:rPr>
          <w:rFonts w:ascii="Times New Roman" w:hAnsi="Times New Roman" w:cs="Times New Roman"/>
          <w:sz w:val="24"/>
          <w:szCs w:val="24"/>
        </w:rPr>
        <w:t xml:space="preserve">, a.s. a na trhu Standard pak Pražské služby, a.s. a Jáchymov </w:t>
      </w:r>
      <w:r w:rsidRPr="008B205B">
        <w:rPr>
          <w:rFonts w:ascii="Times New Roman" w:hAnsi="Times New Roman" w:cs="Times New Roman"/>
          <w:sz w:val="24"/>
          <w:szCs w:val="24"/>
        </w:rPr>
        <w:t>Property</w:t>
      </w:r>
      <w:r w:rsidRPr="008B205B">
        <w:rPr>
          <w:rFonts w:ascii="Times New Roman" w:hAnsi="Times New Roman" w:cs="Times New Roman"/>
          <w:sz w:val="24"/>
          <w:szCs w:val="24"/>
        </w:rPr>
        <w:t xml:space="preserve"> Management, a.s. V roce 2019 k žádnému </w:t>
      </w:r>
      <w:r w:rsidRPr="008B205B">
        <w:rPr>
          <w:rFonts w:ascii="Times New Roman" w:hAnsi="Times New Roman" w:cs="Times New Roman"/>
          <w:sz w:val="24"/>
          <w:szCs w:val="24"/>
        </w:rPr>
        <w:t>delistingu</w:t>
      </w:r>
      <w:r w:rsidRPr="008B205B">
        <w:rPr>
          <w:rFonts w:ascii="Times New Roman" w:hAnsi="Times New Roman" w:cs="Times New Roman"/>
          <w:sz w:val="24"/>
          <w:szCs w:val="24"/>
        </w:rPr>
        <w:t xml:space="preserve"> nedošlo, avšak v roce 2020 došlo k již zmíněnému </w:t>
      </w:r>
      <w:r w:rsidRPr="008B205B">
        <w:rPr>
          <w:rFonts w:ascii="Times New Roman" w:hAnsi="Times New Roman" w:cs="Times New Roman"/>
          <w:sz w:val="24"/>
          <w:szCs w:val="24"/>
        </w:rPr>
        <w:t>delistingu</w:t>
      </w:r>
      <w:r w:rsidRPr="008B205B">
        <w:rPr>
          <w:rFonts w:ascii="Times New Roman" w:hAnsi="Times New Roman" w:cs="Times New Roman"/>
          <w:sz w:val="24"/>
          <w:szCs w:val="24"/>
        </w:rPr>
        <w:t xml:space="preserve"> </w:t>
      </w:r>
      <w:r w:rsidRPr="008B205B">
        <w:rPr>
          <w:rFonts w:ascii="Times New Roman" w:hAnsi="Times New Roman" w:cs="Times New Roman"/>
          <w:sz w:val="24"/>
          <w:szCs w:val="24"/>
        </w:rPr>
        <w:t>Centra</w:t>
      </w:r>
      <w:r w:rsidR="001D6501">
        <w:rPr>
          <w:rFonts w:ascii="Times New Roman" w:hAnsi="Times New Roman" w:cs="Times New Roman"/>
          <w:sz w:val="24"/>
          <w:szCs w:val="24"/>
        </w:rPr>
        <w:t>l</w:t>
      </w:r>
      <w:r w:rsidRPr="008B205B">
        <w:rPr>
          <w:rFonts w:ascii="Times New Roman" w:hAnsi="Times New Roman" w:cs="Times New Roman"/>
          <w:sz w:val="24"/>
          <w:szCs w:val="24"/>
        </w:rPr>
        <w:t xml:space="preserve"> </w:t>
      </w:r>
      <w:r w:rsidRPr="008B205B">
        <w:rPr>
          <w:rFonts w:ascii="Times New Roman" w:hAnsi="Times New Roman" w:cs="Times New Roman"/>
          <w:sz w:val="24"/>
          <w:szCs w:val="24"/>
        </w:rPr>
        <w:t>European</w:t>
      </w:r>
      <w:r w:rsidRPr="008B205B">
        <w:rPr>
          <w:rFonts w:ascii="Times New Roman" w:hAnsi="Times New Roman" w:cs="Times New Roman"/>
          <w:sz w:val="24"/>
          <w:szCs w:val="24"/>
        </w:rPr>
        <w:t xml:space="preserve"> Media </w:t>
      </w:r>
      <w:r w:rsidRPr="008B205B">
        <w:rPr>
          <w:rFonts w:ascii="Times New Roman" w:hAnsi="Times New Roman" w:cs="Times New Roman"/>
          <w:sz w:val="24"/>
          <w:szCs w:val="24"/>
        </w:rPr>
        <w:t>Enterprises</w:t>
      </w:r>
      <w:r w:rsidRPr="008B205B">
        <w:rPr>
          <w:rFonts w:ascii="Times New Roman" w:hAnsi="Times New Roman" w:cs="Times New Roman"/>
          <w:sz w:val="24"/>
          <w:szCs w:val="24"/>
        </w:rPr>
        <w:t xml:space="preserve"> Ltd. A naopak pokud jde o přehled prvních veřejných nabídek akcií (IPO), tak v roce 2020 na trhu Prime došlo ke vstupu společnosti Česká Zbrojovka Group SE (CZG), která má v současnosti tržní kapitalizaci přibližně 9,8 miliard Kč.</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Trh Start pro malé a střední společnosti, který byl spuštěn v roce 2018, měl v roce zahájení tržní kapitalizaci 2,33 miliard Kč. Následně, v roce 2019, tato kapitalizace meziročně vzrostla o</w:t>
      </w:r>
      <w:r w:rsidR="001D6501">
        <w:rPr>
          <w:rFonts w:ascii="Times New Roman" w:hAnsi="Times New Roman" w:cs="Times New Roman"/>
          <w:sz w:val="24"/>
          <w:szCs w:val="24"/>
        </w:rPr>
        <w:t> </w:t>
      </w:r>
      <w:r w:rsidRPr="008B205B">
        <w:rPr>
          <w:rFonts w:ascii="Times New Roman" w:hAnsi="Times New Roman" w:cs="Times New Roman"/>
          <w:sz w:val="24"/>
          <w:szCs w:val="24"/>
        </w:rPr>
        <w:t xml:space="preserve">11.03 % na hodnotu 2.59 miliard Kč. Velký nárůst pak kapitalizace trhu start zaznamenala v tomto roce, kdy došlo k IPO společností Pilulka Lékárny a.s. a </w:t>
      </w:r>
      <w:r w:rsidRPr="008B205B">
        <w:rPr>
          <w:rFonts w:ascii="Times New Roman" w:hAnsi="Times New Roman" w:cs="Times New Roman"/>
          <w:sz w:val="24"/>
          <w:szCs w:val="24"/>
        </w:rPr>
        <w:t>eMan</w:t>
      </w:r>
      <w:r w:rsidRPr="008B205B">
        <w:rPr>
          <w:rFonts w:ascii="Times New Roman" w:hAnsi="Times New Roman" w:cs="Times New Roman"/>
          <w:sz w:val="24"/>
          <w:szCs w:val="24"/>
        </w:rPr>
        <w:t xml:space="preserve"> a.s., a tržní kapitalizace trhu vzrostla o 65,66 % na hodnotu 4,28 miliard Kč. Tržní kapitalizace společnosti Pilulka Lékárny a.s. je v současnosti 1,41 miliard Kč a společnosti </w:t>
      </w:r>
      <w:r w:rsidRPr="008B205B">
        <w:rPr>
          <w:rFonts w:ascii="Times New Roman" w:hAnsi="Times New Roman" w:cs="Times New Roman"/>
          <w:sz w:val="24"/>
          <w:szCs w:val="24"/>
        </w:rPr>
        <w:t>eMan</w:t>
      </w:r>
      <w:r w:rsidRPr="008B205B">
        <w:rPr>
          <w:rFonts w:ascii="Times New Roman" w:hAnsi="Times New Roman" w:cs="Times New Roman"/>
          <w:sz w:val="24"/>
          <w:szCs w:val="24"/>
        </w:rPr>
        <w:t xml:space="preserve"> a.s. přibližně 120 mil. Kč.</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Přehled jednotlivých emitentů (IPO) trhu start a jejich tržní kapitalizaci v milionech Kč je pak možné vidět v Tabulce 2.</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Tabulka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Tabulka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2</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Přehled IPO na trhu Start</w:t>
      </w:r>
    </w:p>
    <w:tbl>
      <w:tblPr>
        <w:tblW w:w="9006" w:type="dxa"/>
        <w:tblCellMar>
          <w:left w:w="70" w:type="dxa"/>
          <w:right w:w="70" w:type="dxa"/>
        </w:tblCellMar>
        <w:tblLook w:val="04A0"/>
      </w:tblPr>
      <w:tblGrid>
        <w:gridCol w:w="2306"/>
        <w:gridCol w:w="2526"/>
        <w:gridCol w:w="2219"/>
        <w:gridCol w:w="1955"/>
      </w:tblGrid>
      <w:tr w:rsidTr="008B205B">
        <w:tblPrEx>
          <w:tblW w:w="9006" w:type="dxa"/>
          <w:tblCellMar>
            <w:left w:w="70" w:type="dxa"/>
            <w:right w:w="70" w:type="dxa"/>
          </w:tblCellMar>
          <w:tblLook w:val="04A0"/>
        </w:tblPrEx>
        <w:trPr>
          <w:trHeight w:val="282"/>
        </w:trPr>
        <w:tc>
          <w:tcPr>
            <w:tcW w:w="2306" w:type="dxa"/>
            <w:tcBorders>
              <w:top w:val="nil"/>
              <w:left w:val="nil"/>
              <w:bottom w:val="nil"/>
              <w:right w:val="nil"/>
            </w:tcBorders>
            <w:shd w:val="clear" w:color="000000" w:fill="002060"/>
            <w:noWrap/>
            <w:vAlign w:val="bottom"/>
            <w:hideMark/>
          </w:tcPr>
          <w:p w:rsidR="008B205B" w:rsidRPr="008B205B" w:rsidP="00454A7C">
            <w:pPr>
              <w:spacing w:after="0" w:line="240" w:lineRule="auto"/>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Emitent</w:t>
            </w:r>
          </w:p>
        </w:tc>
        <w:tc>
          <w:tcPr>
            <w:tcW w:w="2526" w:type="dxa"/>
            <w:tcBorders>
              <w:top w:val="nil"/>
              <w:left w:val="nil"/>
              <w:bottom w:val="nil"/>
              <w:right w:val="nil"/>
            </w:tcBorders>
            <w:shd w:val="clear" w:color="000000" w:fill="002060"/>
            <w:noWrap/>
            <w:vAlign w:val="bottom"/>
            <w:hideMark/>
          </w:tcPr>
          <w:p w:rsidR="008B205B" w:rsidRPr="008B205B" w:rsidP="00454A7C">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Datum přijetí do BCPP</w:t>
            </w:r>
          </w:p>
        </w:tc>
        <w:tc>
          <w:tcPr>
            <w:tcW w:w="2219" w:type="dxa"/>
            <w:tcBorders>
              <w:top w:val="nil"/>
              <w:left w:val="nil"/>
              <w:bottom w:val="nil"/>
              <w:right w:val="nil"/>
            </w:tcBorders>
            <w:shd w:val="clear" w:color="000000" w:fill="002060"/>
            <w:noWrap/>
            <w:vAlign w:val="bottom"/>
            <w:hideMark/>
          </w:tcPr>
          <w:p w:rsidR="008B205B" w:rsidRPr="008B205B" w:rsidP="00454A7C">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Typ cenného papíru</w:t>
            </w:r>
          </w:p>
        </w:tc>
        <w:tc>
          <w:tcPr>
            <w:tcW w:w="1955" w:type="dxa"/>
            <w:tcBorders>
              <w:top w:val="nil"/>
              <w:left w:val="nil"/>
              <w:bottom w:val="nil"/>
              <w:right w:val="nil"/>
            </w:tcBorders>
            <w:shd w:val="clear" w:color="000000" w:fill="002060"/>
            <w:noWrap/>
            <w:vAlign w:val="bottom"/>
            <w:hideMark/>
          </w:tcPr>
          <w:p w:rsidR="008B205B" w:rsidRPr="008B205B" w:rsidP="00454A7C">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Tržní kapitalizace</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Prabos</w:t>
            </w:r>
            <w:r w:rsidRPr="008B205B">
              <w:rPr>
                <w:rFonts w:ascii="Times New Roman" w:eastAsia="Times New Roman" w:hAnsi="Times New Roman" w:cs="Times New Roman"/>
                <w:sz w:val="24"/>
                <w:szCs w:val="24"/>
                <w:lang w:eastAsia="cs-CZ"/>
              </w:rPr>
              <w:t xml:space="preserve"> plus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26.06.2018</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400</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FILLAMENTUM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26.06.2018</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110</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UDI CEE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27.11.2018</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833</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Primoco</w:t>
            </w:r>
            <w:r w:rsidRPr="008B205B">
              <w:rPr>
                <w:rFonts w:ascii="Times New Roman" w:eastAsia="Times New Roman" w:hAnsi="Times New Roman" w:cs="Times New Roman"/>
                <w:sz w:val="24"/>
                <w:szCs w:val="24"/>
                <w:lang w:eastAsia="cs-CZ"/>
              </w:rPr>
              <w:t xml:space="preserve"> UAV SE</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27.11.2018</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1042</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AtomTrace</w:t>
            </w:r>
            <w:r w:rsidRPr="008B205B">
              <w:rPr>
                <w:rFonts w:ascii="Times New Roman" w:eastAsia="Times New Roman" w:hAnsi="Times New Roman" w:cs="Times New Roman"/>
                <w:sz w:val="24"/>
                <w:szCs w:val="24"/>
                <w:lang w:eastAsia="cs-CZ"/>
              </w:rPr>
              <w:t xml:space="preserve">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09.01.2019</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217</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KARO INVEST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13.11.2019</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149</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eMan</w:t>
            </w:r>
            <w:r w:rsidRPr="008B205B">
              <w:rPr>
                <w:rFonts w:ascii="Times New Roman" w:eastAsia="Times New Roman" w:hAnsi="Times New Roman" w:cs="Times New Roman"/>
                <w:sz w:val="24"/>
                <w:szCs w:val="24"/>
                <w:lang w:eastAsia="cs-CZ"/>
              </w:rPr>
              <w:t xml:space="preserve">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04.09.2020</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120</w:t>
            </w:r>
          </w:p>
        </w:tc>
      </w:tr>
      <w:tr w:rsidTr="008B205B">
        <w:tblPrEx>
          <w:tblW w:w="9006" w:type="dxa"/>
          <w:tblCellMar>
            <w:left w:w="70" w:type="dxa"/>
            <w:right w:w="70" w:type="dxa"/>
          </w:tblCellMar>
          <w:tblLook w:val="04A0"/>
        </w:tblPrEx>
        <w:trPr>
          <w:trHeight w:val="282"/>
        </w:trPr>
        <w:tc>
          <w:tcPr>
            <w:tcW w:w="230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Pilulka Lékárny a.s.</w:t>
            </w:r>
          </w:p>
        </w:tc>
        <w:tc>
          <w:tcPr>
            <w:tcW w:w="2526"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26.10.2020</w:t>
            </w:r>
          </w:p>
        </w:tc>
        <w:tc>
          <w:tcPr>
            <w:tcW w:w="2219" w:type="dxa"/>
            <w:tcBorders>
              <w:top w:val="nil"/>
              <w:left w:val="nil"/>
              <w:bottom w:val="single" w:sz="4" w:space="0" w:color="auto"/>
              <w:right w:val="nil"/>
            </w:tcBorders>
            <w:shd w:val="clear" w:color="auto" w:fill="auto"/>
            <w:vAlign w:val="bottom"/>
            <w:hideMark/>
          </w:tcPr>
          <w:p w:rsidR="008B205B" w:rsidRPr="008B205B" w:rsidP="00454A7C">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akcie</w:t>
            </w:r>
          </w:p>
        </w:tc>
        <w:tc>
          <w:tcPr>
            <w:tcW w:w="195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1413</w:t>
            </w:r>
          </w:p>
        </w:tc>
      </w:tr>
    </w:tbl>
    <w:p w:rsidR="008B205B" w:rsidRPr="00454A7C" w:rsidP="00454A7C">
      <w:pPr>
        <w:pStyle w:val="Caption"/>
        <w:spacing w:before="160" w:after="160"/>
        <w:jc w:val="left"/>
        <w:rPr>
          <w:rFonts w:ascii="Times New Roman" w:hAnsi="Times New Roman" w:cs="Times New Roman"/>
          <w:color w:val="auto"/>
          <w:sz w:val="22"/>
          <w:szCs w:val="24"/>
          <w:lang w:val="en-GB"/>
        </w:rPr>
      </w:pPr>
      <w:r w:rsidRPr="00454A7C">
        <w:rPr>
          <w:rFonts w:ascii="Times New Roman" w:hAnsi="Times New Roman" w:cs="Times New Roman"/>
          <w:color w:val="auto"/>
          <w:sz w:val="22"/>
          <w:szCs w:val="24"/>
        </w:rPr>
        <w:t>Zdroj: BCPP</w:t>
      </w:r>
      <w:r w:rsidR="00454A7C">
        <w:rPr>
          <w:rFonts w:ascii="Times New Roman" w:hAnsi="Times New Roman" w:cs="Times New Roman"/>
          <w:color w:val="auto"/>
          <w:sz w:val="22"/>
          <w:szCs w:val="24"/>
        </w:rPr>
        <w:t xml:space="preserve"> (zpracování MF)</w:t>
      </w:r>
    </w:p>
    <w:p w:rsidR="008B205B" w:rsidRPr="008B205B" w:rsidP="00867155">
      <w:pPr>
        <w:spacing w:before="120" w:after="120" w:line="240" w:lineRule="auto"/>
        <w:jc w:val="center"/>
        <w:rPr>
          <w:rFonts w:ascii="Times New Roman" w:hAnsi="Times New Roman" w:cs="Times New Roman"/>
          <w:b/>
          <w:i/>
          <w:sz w:val="24"/>
          <w:szCs w:val="24"/>
        </w:rPr>
      </w:pPr>
      <w:r w:rsidRPr="008B205B">
        <w:rPr>
          <w:rFonts w:ascii="Times New Roman" w:hAnsi="Times New Roman" w:cs="Times New Roman"/>
          <w:b/>
          <w:i/>
          <w:sz w:val="24"/>
          <w:szCs w:val="24"/>
        </w:rPr>
        <w:t>2) Vývoj objemu obchodů na BCPP</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Vývoj objemu obchodů na Burze cenných papírů Praha je možné sledovat v Grafu 2 a Tabulce 3. Je patrné, že objemy obchodů akcií v roce 2019 nejdříve meziročně poklesly o 23,69 % na hodnotu 108,8 miliard Kč, avšak do listopadu roku 2020 naopak vzrostly o 6,49 % na hodnotu 115,8 miliard Kč. Co se týče dluhopisů, tak jejich objemy obchodů měly opačný vývoj než u akcií. V roce 2019 objem obchodů dluhopisů meziročně vzrostl o 28.65 % a činil 11,9 miliard Kč. Nicméně, do listopadu roku 2020 meziročně poklesl o 30,79 % na hodnotu 8,25 miliard Kč, což je dokonce nižší hodnota objemu obchodů než v roce 2018.</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Graf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Graf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2</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Vývoj objemu obchodů na BCPP</w:t>
      </w:r>
    </w:p>
    <w:p w:rsidR="008B205B" w:rsidRPr="008B205B" w:rsidP="00847BA5">
      <w:pPr>
        <w:spacing w:before="160"/>
        <w:rPr>
          <w:rFonts w:ascii="Times New Roman" w:hAnsi="Times New Roman" w:cs="Times New Roman"/>
          <w:sz w:val="24"/>
          <w:szCs w:val="24"/>
        </w:rPr>
      </w:pPr>
      <w:r w:rsidRPr="008B205B">
        <w:rPr>
          <w:rFonts w:ascii="Times New Roman" w:hAnsi="Times New Roman" w:cs="Times New Roman"/>
          <w:noProof/>
          <w:sz w:val="24"/>
          <w:szCs w:val="24"/>
          <w:lang w:eastAsia="cs-CZ"/>
        </w:rPr>
        <w:drawing>
          <wp:inline distT="0" distB="0" distL="0" distR="0">
            <wp:extent cx="5713200" cy="2743200"/>
            <wp:effectExtent l="0" t="0" r="19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4A7C" w:rsidP="00454A7C">
      <w:pPr>
        <w:pStyle w:val="Caption"/>
        <w:keepNext/>
        <w:spacing w:before="160" w:after="160"/>
        <w:jc w:val="left"/>
        <w:rPr>
          <w:rFonts w:ascii="Times New Roman" w:hAnsi="Times New Roman" w:cs="Times New Roman"/>
          <w:color w:val="auto"/>
          <w:sz w:val="22"/>
          <w:szCs w:val="24"/>
        </w:rPr>
      </w:pPr>
      <w:r w:rsidRPr="00454A7C">
        <w:rPr>
          <w:rFonts w:ascii="Times New Roman" w:hAnsi="Times New Roman" w:cs="Times New Roman"/>
          <w:color w:val="auto"/>
          <w:sz w:val="22"/>
          <w:szCs w:val="24"/>
        </w:rPr>
        <w:t>Zdroj: BCPP</w:t>
      </w:r>
      <w:r>
        <w:rPr>
          <w:rFonts w:ascii="Times New Roman" w:hAnsi="Times New Roman" w:cs="Times New Roman"/>
          <w:color w:val="auto"/>
          <w:sz w:val="22"/>
          <w:szCs w:val="24"/>
        </w:rPr>
        <w:t xml:space="preserve"> (zpracování MF)</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Tabulka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Tabulka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3</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Vývoj objemu obchodů na BCPP</w:t>
      </w:r>
    </w:p>
    <w:tbl>
      <w:tblPr>
        <w:tblW w:w="9006" w:type="dxa"/>
        <w:tblCellMar>
          <w:left w:w="70" w:type="dxa"/>
          <w:right w:w="70" w:type="dxa"/>
        </w:tblCellMar>
        <w:tblLook w:val="04A0"/>
      </w:tblPr>
      <w:tblGrid>
        <w:gridCol w:w="3915"/>
        <w:gridCol w:w="1561"/>
        <w:gridCol w:w="1765"/>
        <w:gridCol w:w="1765"/>
      </w:tblGrid>
      <w:tr w:rsidTr="008B205B">
        <w:tblPrEx>
          <w:tblW w:w="9006" w:type="dxa"/>
          <w:tblCellMar>
            <w:left w:w="70" w:type="dxa"/>
            <w:right w:w="70" w:type="dxa"/>
          </w:tblCellMar>
          <w:tblLook w:val="04A0"/>
        </w:tblPrEx>
        <w:trPr>
          <w:trHeight w:val="267"/>
        </w:trPr>
        <w:tc>
          <w:tcPr>
            <w:tcW w:w="3915" w:type="dxa"/>
            <w:tcBorders>
              <w:top w:val="nil"/>
              <w:left w:val="nil"/>
              <w:bottom w:val="nil"/>
              <w:right w:val="nil"/>
            </w:tcBorders>
            <w:shd w:val="clear" w:color="000000" w:fill="002060"/>
            <w:noWrap/>
            <w:vAlign w:val="bottom"/>
            <w:hideMark/>
          </w:tcPr>
          <w:p w:rsidR="008B205B" w:rsidRPr="008B205B" w:rsidP="00454A7C">
            <w:pPr>
              <w:spacing w:after="0" w:line="240" w:lineRule="auto"/>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Objemy obchodů v mil. Kč</w:t>
            </w:r>
          </w:p>
        </w:tc>
        <w:tc>
          <w:tcPr>
            <w:tcW w:w="1561" w:type="dxa"/>
            <w:tcBorders>
              <w:top w:val="nil"/>
              <w:left w:val="nil"/>
              <w:bottom w:val="nil"/>
              <w:right w:val="nil"/>
            </w:tcBorders>
            <w:shd w:val="clear" w:color="000000" w:fill="002060"/>
            <w:noWrap/>
            <w:vAlign w:val="bottom"/>
            <w:hideMark/>
          </w:tcPr>
          <w:p w:rsidR="008B205B" w:rsidRPr="008B205B" w:rsidP="00454A7C">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2018</w:t>
            </w:r>
          </w:p>
        </w:tc>
        <w:tc>
          <w:tcPr>
            <w:tcW w:w="1765" w:type="dxa"/>
            <w:tcBorders>
              <w:top w:val="nil"/>
              <w:left w:val="nil"/>
              <w:bottom w:val="nil"/>
              <w:right w:val="nil"/>
            </w:tcBorders>
            <w:shd w:val="clear" w:color="000000" w:fill="002060"/>
            <w:noWrap/>
            <w:vAlign w:val="bottom"/>
            <w:hideMark/>
          </w:tcPr>
          <w:p w:rsidR="008B205B" w:rsidRPr="008B205B" w:rsidP="00454A7C">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2019</w:t>
            </w:r>
          </w:p>
        </w:tc>
        <w:tc>
          <w:tcPr>
            <w:tcW w:w="1765" w:type="dxa"/>
            <w:tcBorders>
              <w:top w:val="nil"/>
              <w:left w:val="nil"/>
              <w:bottom w:val="nil"/>
              <w:right w:val="nil"/>
            </w:tcBorders>
            <w:shd w:val="clear" w:color="000000" w:fill="002060"/>
            <w:noWrap/>
            <w:vAlign w:val="bottom"/>
            <w:hideMark/>
          </w:tcPr>
          <w:p w:rsidR="008B205B" w:rsidRPr="008B205B" w:rsidP="00454A7C">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11/2020</w:t>
            </w:r>
          </w:p>
        </w:tc>
      </w:tr>
      <w:tr w:rsidTr="008B205B">
        <w:tblPrEx>
          <w:tblW w:w="9006" w:type="dxa"/>
          <w:tblCellMar>
            <w:left w:w="70" w:type="dxa"/>
            <w:right w:w="70" w:type="dxa"/>
          </w:tblCellMar>
          <w:tblLook w:val="04A0"/>
        </w:tblPrEx>
        <w:trPr>
          <w:trHeight w:val="267"/>
        </w:trPr>
        <w:tc>
          <w:tcPr>
            <w:tcW w:w="391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Akcie (levá osa)</w:t>
            </w:r>
          </w:p>
        </w:tc>
        <w:tc>
          <w:tcPr>
            <w:tcW w:w="1561"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142,548</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108,780</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115,835</w:t>
            </w:r>
          </w:p>
        </w:tc>
      </w:tr>
      <w:tr w:rsidTr="008B205B">
        <w:tblPrEx>
          <w:tblW w:w="9006" w:type="dxa"/>
          <w:tblCellMar>
            <w:left w:w="70" w:type="dxa"/>
            <w:right w:w="70" w:type="dxa"/>
          </w:tblCellMar>
          <w:tblLook w:val="04A0"/>
        </w:tblPrEx>
        <w:trPr>
          <w:trHeight w:val="267"/>
        </w:trPr>
        <w:tc>
          <w:tcPr>
            <w:tcW w:w="391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Dluhopisy (pravá osa)</w:t>
            </w:r>
          </w:p>
        </w:tc>
        <w:tc>
          <w:tcPr>
            <w:tcW w:w="1561"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9,266</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11,921</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8,250</w:t>
            </w:r>
          </w:p>
        </w:tc>
      </w:tr>
      <w:tr w:rsidTr="008B205B">
        <w:tblPrEx>
          <w:tblW w:w="9006" w:type="dxa"/>
          <w:tblCellMar>
            <w:left w:w="70" w:type="dxa"/>
            <w:right w:w="70" w:type="dxa"/>
          </w:tblCellMar>
          <w:tblLook w:val="04A0"/>
        </w:tblPrEx>
        <w:trPr>
          <w:trHeight w:val="267"/>
        </w:trPr>
        <w:tc>
          <w:tcPr>
            <w:tcW w:w="391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Meziroční změna (Akcie)</w:t>
            </w:r>
          </w:p>
        </w:tc>
        <w:tc>
          <w:tcPr>
            <w:tcW w:w="1561"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-23.69%</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6.49%</w:t>
            </w:r>
          </w:p>
        </w:tc>
      </w:tr>
      <w:tr w:rsidTr="008B205B">
        <w:tblPrEx>
          <w:tblW w:w="9006" w:type="dxa"/>
          <w:tblCellMar>
            <w:left w:w="70" w:type="dxa"/>
            <w:right w:w="70" w:type="dxa"/>
          </w:tblCellMar>
          <w:tblLook w:val="04A0"/>
        </w:tblPrEx>
        <w:trPr>
          <w:trHeight w:val="267"/>
        </w:trPr>
        <w:tc>
          <w:tcPr>
            <w:tcW w:w="391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Meziroční změna (dluhopisy)</w:t>
            </w:r>
          </w:p>
        </w:tc>
        <w:tc>
          <w:tcPr>
            <w:tcW w:w="1561"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28.65%</w:t>
            </w:r>
          </w:p>
        </w:tc>
        <w:tc>
          <w:tcPr>
            <w:tcW w:w="1765" w:type="dxa"/>
            <w:tcBorders>
              <w:top w:val="nil"/>
              <w:left w:val="nil"/>
              <w:bottom w:val="single" w:sz="4" w:space="0" w:color="auto"/>
              <w:right w:val="nil"/>
            </w:tcBorders>
            <w:shd w:val="clear" w:color="auto" w:fill="auto"/>
            <w:noWrap/>
            <w:vAlign w:val="bottom"/>
            <w:hideMark/>
          </w:tcPr>
          <w:p w:rsidR="008B205B" w:rsidRPr="008B205B" w:rsidP="00454A7C">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-30.79%</w:t>
            </w:r>
          </w:p>
        </w:tc>
      </w:tr>
    </w:tbl>
    <w:p w:rsidR="008B205B" w:rsidRPr="008B205B" w:rsidP="00454A7C">
      <w:pPr>
        <w:pStyle w:val="Caption"/>
        <w:spacing w:before="160" w:after="160"/>
        <w:jc w:val="left"/>
        <w:rPr>
          <w:rFonts w:ascii="Times New Roman" w:hAnsi="Times New Roman" w:cs="Times New Roman"/>
          <w:color w:val="auto"/>
          <w:sz w:val="24"/>
          <w:szCs w:val="24"/>
          <w:lang w:val="en-GB"/>
        </w:rPr>
      </w:pPr>
      <w:r w:rsidRPr="00454A7C">
        <w:rPr>
          <w:rFonts w:ascii="Times New Roman" w:hAnsi="Times New Roman" w:cs="Times New Roman"/>
          <w:color w:val="auto"/>
          <w:sz w:val="22"/>
          <w:szCs w:val="24"/>
        </w:rPr>
        <w:t>Zdroj: BCPP</w:t>
      </w:r>
      <w:r>
        <w:rPr>
          <w:rFonts w:ascii="Times New Roman" w:hAnsi="Times New Roman" w:cs="Times New Roman"/>
          <w:color w:val="auto"/>
          <w:sz w:val="22"/>
          <w:szCs w:val="24"/>
        </w:rPr>
        <w:t xml:space="preserve"> (zpracování MF)</w:t>
      </w:r>
    </w:p>
    <w:p w:rsidR="008B205B" w:rsidRPr="008B205B" w:rsidP="00867155">
      <w:pPr>
        <w:spacing w:before="120"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 </w:t>
      </w:r>
      <w:r w:rsidRPr="008B205B">
        <w:rPr>
          <w:rFonts w:ascii="Times New Roman" w:hAnsi="Times New Roman" w:cs="Times New Roman"/>
          <w:b/>
          <w:i/>
          <w:sz w:val="24"/>
          <w:szCs w:val="24"/>
        </w:rPr>
        <w:t>Změna financování českých podniků ve prospěch nebankovního financování</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 xml:space="preserve">Co se týče vývoje financování českých nefinančních podniků a podíl jeho jednotlivých složek na celkových pasivech dle dat </w:t>
      </w:r>
      <w:r w:rsidRPr="008B205B">
        <w:rPr>
          <w:rFonts w:ascii="Times New Roman" w:hAnsi="Times New Roman" w:cs="Times New Roman"/>
          <w:sz w:val="24"/>
          <w:szCs w:val="24"/>
        </w:rPr>
        <w:t>Eurostatu</w:t>
      </w:r>
      <w:r w:rsidRPr="008B205B">
        <w:rPr>
          <w:rFonts w:ascii="Times New Roman" w:hAnsi="Times New Roman" w:cs="Times New Roman"/>
          <w:sz w:val="24"/>
          <w:szCs w:val="24"/>
        </w:rPr>
        <w:t>, tak tato data je možné sledovat v Grafu 3.</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Je patrné, že podíl půjček na celkových pasivech českých nefinančních podniků je v porovnání s kótovanými akciemi a dluhovými cennými papíry stále s přehledem nejvyšší. Nicméně podíl půjček na celkových pasivech klesá</w:t>
      </w:r>
      <w:r w:rsidR="008F1AEA">
        <w:rPr>
          <w:rFonts w:ascii="Times New Roman" w:hAnsi="Times New Roman" w:cs="Times New Roman"/>
          <w:sz w:val="24"/>
          <w:szCs w:val="24"/>
        </w:rPr>
        <w:t>,</w:t>
      </w:r>
      <w:r w:rsidRPr="008B205B">
        <w:rPr>
          <w:rFonts w:ascii="Times New Roman" w:hAnsi="Times New Roman" w:cs="Times New Roman"/>
          <w:sz w:val="24"/>
          <w:szCs w:val="24"/>
        </w:rPr>
        <w:t xml:space="preserve"> a zatímco v roce 2018 tento podíl činil 24,1 %, tak v polovině roku 2020 se snížil na 23,6 %. Podíl kótovaných akcií na celkových pasivech se také snižoval. V roce 2018 tento podíl činil 3,4 % a do poloviny roku 2020 ještě poklesl na 3,1 %. Snižovala se také absolutní hodnota kótovaných akcií. A v neposlední řadě klesal také podíl dluhových cenných papírů, který byl v letech 2018 a 2019 ve výši 3,1 % a v polovině roku 2020 2,9 %.</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Graf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Graf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3</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Financování českých nefinančních podniků (% z pasiv)</w:t>
      </w:r>
    </w:p>
    <w:p w:rsidR="008B205B" w:rsidRPr="008B205B" w:rsidP="00847BA5">
      <w:pPr>
        <w:spacing w:before="160"/>
        <w:rPr>
          <w:rFonts w:ascii="Times New Roman" w:hAnsi="Times New Roman" w:cs="Times New Roman"/>
          <w:sz w:val="24"/>
          <w:szCs w:val="24"/>
        </w:rPr>
      </w:pPr>
      <w:r w:rsidRPr="008B205B">
        <w:rPr>
          <w:rFonts w:ascii="Times New Roman" w:hAnsi="Times New Roman" w:cs="Times New Roman"/>
          <w:noProof/>
          <w:sz w:val="24"/>
          <w:szCs w:val="24"/>
          <w:lang w:eastAsia="cs-CZ"/>
        </w:rPr>
        <w:drawing>
          <wp:inline distT="0" distB="0" distL="0" distR="0">
            <wp:extent cx="5713095" cy="2743200"/>
            <wp:effectExtent l="0" t="0" r="190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B205B" w:rsidRPr="008B205B" w:rsidP="00847BA5">
      <w:pPr>
        <w:pStyle w:val="Caption"/>
        <w:spacing w:before="160" w:after="160"/>
        <w:jc w:val="left"/>
        <w:rPr>
          <w:rFonts w:ascii="Times New Roman" w:hAnsi="Times New Roman" w:cs="Times New Roman"/>
          <w:color w:val="auto"/>
          <w:sz w:val="24"/>
          <w:szCs w:val="24"/>
        </w:rPr>
      </w:pPr>
      <w:r w:rsidRPr="00847BA5">
        <w:rPr>
          <w:rFonts w:ascii="Times New Roman" w:hAnsi="Times New Roman" w:cs="Times New Roman"/>
          <w:color w:val="auto"/>
          <w:sz w:val="22"/>
          <w:szCs w:val="24"/>
        </w:rPr>
        <w:t xml:space="preserve">Zdroj: </w:t>
      </w:r>
      <w:r w:rsidRPr="00847BA5">
        <w:rPr>
          <w:rFonts w:ascii="Times New Roman" w:hAnsi="Times New Roman" w:cs="Times New Roman"/>
          <w:color w:val="auto"/>
          <w:sz w:val="22"/>
          <w:szCs w:val="24"/>
        </w:rPr>
        <w:t>Eurostat</w:t>
      </w:r>
      <w:r w:rsidRPr="00847BA5" w:rsidR="00847BA5">
        <w:rPr>
          <w:rFonts w:ascii="Times New Roman" w:hAnsi="Times New Roman" w:cs="Times New Roman"/>
          <w:color w:val="auto"/>
          <w:sz w:val="22"/>
          <w:szCs w:val="24"/>
        </w:rPr>
        <w:t xml:space="preserve"> (zpracování MF)</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Pro doplnění pohledu na financování českých nefinančních podniků, zejména s ohledem na objem emisí korporátních dluhopisů, je v Tabulkách 4, 5 a 6 možné vidět nové emise dluhopisů přijatých na Burzu cenných papírů Praha v letech 2018, 2019 a do listopadu 2020. Z tabulek je možné vyčíst, že objem emisí přijatých na BCPP každoročně klesá, jelikož zatímco v roce 2018 se jednalo o 27,4 miliardy Kč, tak v roce 2019 to bylo 22,1 miliardy Kč a</w:t>
      </w:r>
      <w:r w:rsidR="00F44E12">
        <w:rPr>
          <w:rFonts w:ascii="Times New Roman" w:hAnsi="Times New Roman" w:cs="Times New Roman"/>
          <w:sz w:val="24"/>
          <w:szCs w:val="24"/>
        </w:rPr>
        <w:t> </w:t>
      </w:r>
      <w:r w:rsidRPr="008B205B">
        <w:rPr>
          <w:rFonts w:ascii="Times New Roman" w:hAnsi="Times New Roman" w:cs="Times New Roman"/>
          <w:sz w:val="24"/>
          <w:szCs w:val="24"/>
        </w:rPr>
        <w:t>do listopadu 2020 dokonce jen 11,75 miliard Kč.</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Tabulka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Tabulka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4</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Nové emise dluhopisů přijaté na BCPP v roce 2018</w:t>
      </w:r>
    </w:p>
    <w:tbl>
      <w:tblPr>
        <w:tblW w:w="9010" w:type="dxa"/>
        <w:tblCellMar>
          <w:left w:w="70" w:type="dxa"/>
          <w:right w:w="70" w:type="dxa"/>
        </w:tblCellMar>
        <w:tblLook w:val="04A0"/>
      </w:tblPr>
      <w:tblGrid>
        <w:gridCol w:w="5186"/>
        <w:gridCol w:w="2007"/>
        <w:gridCol w:w="1817"/>
      </w:tblGrid>
      <w:tr w:rsidTr="008B205B">
        <w:tblPrEx>
          <w:tblW w:w="9010" w:type="dxa"/>
          <w:tblCellMar>
            <w:left w:w="70" w:type="dxa"/>
            <w:right w:w="70" w:type="dxa"/>
          </w:tblCellMar>
          <w:tblLook w:val="04A0"/>
        </w:tblPrEx>
        <w:trPr>
          <w:trHeight w:val="280"/>
        </w:trPr>
        <w:tc>
          <w:tcPr>
            <w:tcW w:w="5186" w:type="dxa"/>
            <w:tcBorders>
              <w:top w:val="nil"/>
              <w:left w:val="nil"/>
              <w:bottom w:val="nil"/>
              <w:right w:val="nil"/>
            </w:tcBorders>
            <w:shd w:val="clear" w:color="000000" w:fill="002060"/>
            <w:vAlign w:val="center"/>
            <w:hideMark/>
          </w:tcPr>
          <w:p w:rsidR="008B205B" w:rsidRPr="008B205B" w:rsidP="00847BA5">
            <w:pPr>
              <w:spacing w:after="0" w:line="240" w:lineRule="auto"/>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Emitent</w:t>
            </w:r>
          </w:p>
        </w:tc>
        <w:tc>
          <w:tcPr>
            <w:tcW w:w="2007" w:type="dxa"/>
            <w:tcBorders>
              <w:top w:val="nil"/>
              <w:left w:val="nil"/>
              <w:bottom w:val="nil"/>
              <w:right w:val="nil"/>
            </w:tcBorders>
            <w:shd w:val="clear" w:color="000000" w:fill="002060"/>
            <w:vAlign w:val="center"/>
            <w:hideMark/>
          </w:tcPr>
          <w:p w:rsidR="008B205B" w:rsidRPr="008B205B" w:rsidP="00847BA5">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Objem emise</w:t>
            </w:r>
          </w:p>
        </w:tc>
        <w:tc>
          <w:tcPr>
            <w:tcW w:w="1817" w:type="dxa"/>
            <w:tcBorders>
              <w:top w:val="nil"/>
              <w:left w:val="nil"/>
              <w:bottom w:val="nil"/>
              <w:right w:val="nil"/>
            </w:tcBorders>
            <w:shd w:val="clear" w:color="000000" w:fill="002060"/>
            <w:vAlign w:val="center"/>
            <w:hideMark/>
          </w:tcPr>
          <w:p w:rsidR="008B205B" w:rsidRPr="008B205B" w:rsidP="00847BA5">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Datum přijetí do BCPP</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RED </w:t>
            </w:r>
            <w:r w:rsidRPr="008B205B">
              <w:rPr>
                <w:rFonts w:ascii="Times New Roman" w:eastAsia="Times New Roman" w:hAnsi="Times New Roman" w:cs="Times New Roman"/>
                <w:color w:val="000000"/>
                <w:sz w:val="24"/>
                <w:szCs w:val="24"/>
                <w:lang w:eastAsia="cs-CZ"/>
              </w:rPr>
              <w:t>Thirteen</w:t>
            </w:r>
            <w:r w:rsidRPr="008B205B">
              <w:rPr>
                <w:rFonts w:ascii="Times New Roman" w:eastAsia="Times New Roman" w:hAnsi="Times New Roman" w:cs="Times New Roman"/>
                <w:color w:val="000000"/>
                <w:sz w:val="24"/>
                <w:szCs w:val="24"/>
                <w:lang w:eastAsia="cs-CZ"/>
              </w:rPr>
              <w:t xml:space="preserve"> s.r.o.</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210,000,000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01.03.2018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J&amp;T ENERGY FINANCING CZK II,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2,232,000,000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13.03.2018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J&amp;T ENERGY FINANCING CZK I,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3,807,000,000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13.03.2018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AAW X </w:t>
            </w:r>
            <w:r w:rsidRPr="008B205B">
              <w:rPr>
                <w:rFonts w:ascii="Times New Roman" w:eastAsia="Times New Roman" w:hAnsi="Times New Roman" w:cs="Times New Roman"/>
                <w:color w:val="000000"/>
                <w:sz w:val="24"/>
                <w:szCs w:val="24"/>
                <w:lang w:eastAsia="cs-CZ"/>
              </w:rPr>
              <w:t>Spólka</w:t>
            </w:r>
            <w:r w:rsidRPr="008B205B">
              <w:rPr>
                <w:rFonts w:ascii="Times New Roman" w:eastAsia="Times New Roman" w:hAnsi="Times New Roman" w:cs="Times New Roman"/>
                <w:color w:val="000000"/>
                <w:sz w:val="24"/>
                <w:szCs w:val="24"/>
                <w:lang w:eastAsia="cs-CZ"/>
              </w:rPr>
              <w:t xml:space="preserve"> z </w:t>
            </w:r>
            <w:r w:rsidRPr="008B205B">
              <w:rPr>
                <w:rFonts w:ascii="Times New Roman" w:eastAsia="Times New Roman" w:hAnsi="Times New Roman" w:cs="Times New Roman"/>
                <w:color w:val="000000"/>
                <w:sz w:val="24"/>
                <w:szCs w:val="24"/>
                <w:lang w:eastAsia="cs-CZ"/>
              </w:rPr>
              <w:t>ograniczona</w:t>
            </w:r>
            <w:r w:rsidRPr="008B205B">
              <w:rPr>
                <w:rFonts w:ascii="Times New Roman" w:eastAsia="Times New Roman" w:hAnsi="Times New Roman" w:cs="Times New Roman"/>
                <w:color w:val="000000"/>
                <w:sz w:val="24"/>
                <w:szCs w:val="24"/>
                <w:lang w:eastAsia="cs-CZ"/>
              </w:rPr>
              <w:t xml:space="preserve"> </w:t>
            </w:r>
            <w:r w:rsidRPr="008B205B">
              <w:rPr>
                <w:rFonts w:ascii="Times New Roman" w:eastAsia="Times New Roman" w:hAnsi="Times New Roman" w:cs="Times New Roman"/>
                <w:color w:val="000000"/>
                <w:sz w:val="24"/>
                <w:szCs w:val="24"/>
                <w:lang w:eastAsia="cs-CZ"/>
              </w:rPr>
              <w:t>odpowiedzialnościa</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171,000,000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29.03.2018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FINEP Hloubětín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160,000,000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12.06.2018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DEKINVEST, </w:t>
            </w:r>
            <w:r w:rsidRPr="008B205B">
              <w:rPr>
                <w:rFonts w:ascii="Times New Roman" w:eastAsia="Times New Roman" w:hAnsi="Times New Roman" w:cs="Times New Roman"/>
                <w:color w:val="000000"/>
                <w:sz w:val="24"/>
                <w:szCs w:val="24"/>
                <w:lang w:eastAsia="cs-CZ"/>
              </w:rPr>
              <w:t>inv</w:t>
            </w:r>
            <w:r w:rsidRPr="008B205B">
              <w:rPr>
                <w:rFonts w:ascii="Times New Roman" w:eastAsia="Times New Roman" w:hAnsi="Times New Roman" w:cs="Times New Roman"/>
                <w:color w:val="000000"/>
                <w:sz w:val="24"/>
                <w:szCs w:val="24"/>
                <w:lang w:eastAsia="cs-CZ"/>
              </w:rPr>
              <w:t xml:space="preserve">. fond s proměnným zákl. </w:t>
            </w:r>
            <w:r w:rsidRPr="008B205B">
              <w:rPr>
                <w:rFonts w:ascii="Times New Roman" w:eastAsia="Times New Roman" w:hAnsi="Times New Roman" w:cs="Times New Roman"/>
                <w:color w:val="000000"/>
                <w:sz w:val="24"/>
                <w:szCs w:val="24"/>
                <w:lang w:eastAsia="cs-CZ"/>
              </w:rPr>
              <w:t>kap</w:t>
            </w:r>
            <w:r w:rsidRPr="008B205B">
              <w:rPr>
                <w:rFonts w:ascii="Times New Roman" w:eastAsia="Times New Roman" w:hAnsi="Times New Roman" w:cs="Times New Roman"/>
                <w:color w:val="000000"/>
                <w:sz w:val="24"/>
                <w:szCs w:val="24"/>
                <w:lang w:eastAsia="cs-CZ"/>
              </w:rPr>
              <w:t>,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1,101,000,000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27.06.2018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EPH </w:t>
            </w:r>
            <w:r w:rsidRPr="008B205B">
              <w:rPr>
                <w:rFonts w:ascii="Times New Roman" w:eastAsia="Times New Roman" w:hAnsi="Times New Roman" w:cs="Times New Roman"/>
                <w:color w:val="000000"/>
                <w:sz w:val="24"/>
                <w:szCs w:val="24"/>
                <w:lang w:eastAsia="cs-CZ"/>
              </w:rPr>
              <w:t>Financing</w:t>
            </w:r>
            <w:r w:rsidRPr="008B205B">
              <w:rPr>
                <w:rFonts w:ascii="Times New Roman" w:eastAsia="Times New Roman" w:hAnsi="Times New Roman" w:cs="Times New Roman"/>
                <w:color w:val="000000"/>
                <w:sz w:val="24"/>
                <w:szCs w:val="24"/>
                <w:lang w:eastAsia="cs-CZ"/>
              </w:rPr>
              <w:t xml:space="preserve"> CZ,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2,502,000,000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16.07.2018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NET4GAS, s.r.o.</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2,643,000,000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17.07.2018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ČD </w:t>
            </w:r>
            <w:r w:rsidRPr="008B205B">
              <w:rPr>
                <w:rFonts w:ascii="Times New Roman" w:eastAsia="Times New Roman" w:hAnsi="Times New Roman" w:cs="Times New Roman"/>
                <w:color w:val="000000"/>
                <w:sz w:val="24"/>
                <w:szCs w:val="24"/>
                <w:lang w:eastAsia="cs-CZ"/>
              </w:rPr>
              <w:t>Cargo</w:t>
            </w:r>
            <w:r w:rsidRPr="008B205B">
              <w:rPr>
                <w:rFonts w:ascii="Times New Roman" w:eastAsia="Times New Roman" w:hAnsi="Times New Roman" w:cs="Times New Roman"/>
                <w:color w:val="000000"/>
                <w:sz w:val="24"/>
                <w:szCs w:val="24"/>
                <w:lang w:eastAsia="cs-CZ"/>
              </w:rPr>
              <w:t>,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1,000,000,000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20.07.2018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PPF </w:t>
            </w:r>
            <w:r w:rsidRPr="008B205B">
              <w:rPr>
                <w:rFonts w:ascii="Times New Roman" w:eastAsia="Times New Roman" w:hAnsi="Times New Roman" w:cs="Times New Roman"/>
                <w:color w:val="000000"/>
                <w:sz w:val="24"/>
                <w:szCs w:val="24"/>
                <w:lang w:eastAsia="cs-CZ"/>
              </w:rPr>
              <w:t>Financial</w:t>
            </w:r>
            <w:r w:rsidRPr="008B205B">
              <w:rPr>
                <w:rFonts w:ascii="Times New Roman" w:eastAsia="Times New Roman" w:hAnsi="Times New Roman" w:cs="Times New Roman"/>
                <w:color w:val="000000"/>
                <w:sz w:val="24"/>
                <w:szCs w:val="24"/>
                <w:lang w:eastAsia="cs-CZ"/>
              </w:rPr>
              <w:t xml:space="preserve"> </w:t>
            </w:r>
            <w:r w:rsidRPr="008B205B">
              <w:rPr>
                <w:rFonts w:ascii="Times New Roman" w:eastAsia="Times New Roman" w:hAnsi="Times New Roman" w:cs="Times New Roman"/>
                <w:color w:val="000000"/>
                <w:sz w:val="24"/>
                <w:szCs w:val="24"/>
                <w:lang w:eastAsia="cs-CZ"/>
              </w:rPr>
              <w:t>Holdings</w:t>
            </w:r>
            <w:r w:rsidRPr="008B205B">
              <w:rPr>
                <w:rFonts w:ascii="Times New Roman" w:eastAsia="Times New Roman" w:hAnsi="Times New Roman" w:cs="Times New Roman"/>
                <w:color w:val="000000"/>
                <w:sz w:val="24"/>
                <w:szCs w:val="24"/>
                <w:lang w:eastAsia="cs-CZ"/>
              </w:rPr>
              <w:t xml:space="preserve"> B.V.</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4,000,000,000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28.08.2018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Aquila</w:t>
            </w:r>
            <w:r w:rsidRPr="008B205B">
              <w:rPr>
                <w:rFonts w:ascii="Times New Roman" w:eastAsia="Times New Roman" w:hAnsi="Times New Roman" w:cs="Times New Roman"/>
                <w:color w:val="000000"/>
                <w:sz w:val="24"/>
                <w:szCs w:val="24"/>
                <w:lang w:eastAsia="cs-CZ"/>
              </w:rPr>
              <w:t xml:space="preserve"> Real </w:t>
            </w:r>
            <w:r w:rsidRPr="008B205B">
              <w:rPr>
                <w:rFonts w:ascii="Times New Roman" w:eastAsia="Times New Roman" w:hAnsi="Times New Roman" w:cs="Times New Roman"/>
                <w:color w:val="000000"/>
                <w:sz w:val="24"/>
                <w:szCs w:val="24"/>
                <w:lang w:eastAsia="cs-CZ"/>
              </w:rPr>
              <w:t>Asset</w:t>
            </w:r>
            <w:r w:rsidRPr="008B205B">
              <w:rPr>
                <w:rFonts w:ascii="Times New Roman" w:eastAsia="Times New Roman" w:hAnsi="Times New Roman" w:cs="Times New Roman"/>
                <w:color w:val="000000"/>
                <w:sz w:val="24"/>
                <w:szCs w:val="24"/>
                <w:lang w:eastAsia="cs-CZ"/>
              </w:rPr>
              <w:t xml:space="preserve"> Finance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1,875,000,000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14.09.2018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APS Finance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500,000,000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01.10.2018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J&amp;T SECURITIES MANAGEMENT PLC</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1,500,000,000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16.10.2018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Beach</w:t>
            </w:r>
            <w:r w:rsidRPr="008B205B">
              <w:rPr>
                <w:rFonts w:ascii="Times New Roman" w:eastAsia="Times New Roman" w:hAnsi="Times New Roman" w:cs="Times New Roman"/>
                <w:color w:val="000000"/>
                <w:sz w:val="24"/>
                <w:szCs w:val="24"/>
                <w:lang w:eastAsia="cs-CZ"/>
              </w:rPr>
              <w:t xml:space="preserve"> </w:t>
            </w:r>
            <w:r w:rsidRPr="008B205B">
              <w:rPr>
                <w:rFonts w:ascii="Times New Roman" w:eastAsia="Times New Roman" w:hAnsi="Times New Roman" w:cs="Times New Roman"/>
                <w:color w:val="000000"/>
                <w:sz w:val="24"/>
                <w:szCs w:val="24"/>
                <w:lang w:eastAsia="cs-CZ"/>
              </w:rPr>
              <w:t>Resorts</w:t>
            </w:r>
            <w:r w:rsidRPr="008B205B">
              <w:rPr>
                <w:rFonts w:ascii="Times New Roman" w:eastAsia="Times New Roman" w:hAnsi="Times New Roman" w:cs="Times New Roman"/>
                <w:color w:val="000000"/>
                <w:sz w:val="24"/>
                <w:szCs w:val="24"/>
                <w:lang w:eastAsia="cs-CZ"/>
              </w:rPr>
              <w:t xml:space="preserve"> </w:t>
            </w:r>
            <w:r w:rsidRPr="008B205B">
              <w:rPr>
                <w:rFonts w:ascii="Times New Roman" w:eastAsia="Times New Roman" w:hAnsi="Times New Roman" w:cs="Times New Roman"/>
                <w:color w:val="000000"/>
                <w:sz w:val="24"/>
                <w:szCs w:val="24"/>
                <w:lang w:eastAsia="cs-CZ"/>
              </w:rPr>
              <w:t>Investment</w:t>
            </w:r>
            <w:r w:rsidRPr="008B205B">
              <w:rPr>
                <w:rFonts w:ascii="Times New Roman" w:eastAsia="Times New Roman" w:hAnsi="Times New Roman" w:cs="Times New Roman"/>
                <w:color w:val="000000"/>
                <w:sz w:val="24"/>
                <w:szCs w:val="24"/>
                <w:lang w:eastAsia="cs-CZ"/>
              </w:rPr>
              <w:t xml:space="preserve"> limited</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414,000,000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17.10.2018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J&amp;T ENERGY FINANCING CZK III,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189,000,000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18.10.2018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Liberty</w:t>
            </w:r>
            <w:r w:rsidRPr="008B205B">
              <w:rPr>
                <w:rFonts w:ascii="Times New Roman" w:eastAsia="Times New Roman" w:hAnsi="Times New Roman" w:cs="Times New Roman"/>
                <w:color w:val="000000"/>
                <w:sz w:val="24"/>
                <w:szCs w:val="24"/>
                <w:lang w:eastAsia="cs-CZ"/>
              </w:rPr>
              <w:t xml:space="preserve"> </w:t>
            </w:r>
            <w:r w:rsidRPr="008B205B">
              <w:rPr>
                <w:rFonts w:ascii="Times New Roman" w:eastAsia="Times New Roman" w:hAnsi="Times New Roman" w:cs="Times New Roman"/>
                <w:color w:val="000000"/>
                <w:sz w:val="24"/>
                <w:szCs w:val="24"/>
                <w:lang w:eastAsia="cs-CZ"/>
              </w:rPr>
              <w:t>One</w:t>
            </w:r>
            <w:r w:rsidRPr="008B205B">
              <w:rPr>
                <w:rFonts w:ascii="Times New Roman" w:eastAsia="Times New Roman" w:hAnsi="Times New Roman" w:cs="Times New Roman"/>
                <w:color w:val="000000"/>
                <w:sz w:val="24"/>
                <w:szCs w:val="24"/>
                <w:lang w:eastAsia="cs-CZ"/>
              </w:rPr>
              <w:t xml:space="preserve"> </w:t>
            </w:r>
            <w:r w:rsidRPr="008B205B">
              <w:rPr>
                <w:rFonts w:ascii="Times New Roman" w:eastAsia="Times New Roman" w:hAnsi="Times New Roman" w:cs="Times New Roman"/>
                <w:color w:val="000000"/>
                <w:sz w:val="24"/>
                <w:szCs w:val="24"/>
                <w:lang w:eastAsia="cs-CZ"/>
              </w:rPr>
              <w:t>Methanol</w:t>
            </w:r>
            <w:r w:rsidRPr="008B205B">
              <w:rPr>
                <w:rFonts w:ascii="Times New Roman" w:eastAsia="Times New Roman" w:hAnsi="Times New Roman" w:cs="Times New Roman"/>
                <w:color w:val="000000"/>
                <w:sz w:val="24"/>
                <w:szCs w:val="24"/>
                <w:lang w:eastAsia="cs-CZ"/>
              </w:rPr>
              <w:t xml:space="preserve"> LLC</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2,100,000,000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23.10.2018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TMR Finance CR,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1,500,000,000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07.11.2018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TD GAMA s.r.o.</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400,000,000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11.12.2018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Trigema</w:t>
            </w:r>
            <w:r w:rsidRPr="008B205B">
              <w:rPr>
                <w:rFonts w:ascii="Times New Roman" w:eastAsia="Times New Roman" w:hAnsi="Times New Roman" w:cs="Times New Roman"/>
                <w:color w:val="000000"/>
                <w:sz w:val="24"/>
                <w:szCs w:val="24"/>
                <w:lang w:eastAsia="cs-CZ"/>
              </w:rPr>
              <w:t xml:space="preserve"> Real </w:t>
            </w:r>
            <w:r w:rsidRPr="008B205B">
              <w:rPr>
                <w:rFonts w:ascii="Times New Roman" w:eastAsia="Times New Roman" w:hAnsi="Times New Roman" w:cs="Times New Roman"/>
                <w:color w:val="000000"/>
                <w:sz w:val="24"/>
                <w:szCs w:val="24"/>
                <w:lang w:eastAsia="cs-CZ"/>
              </w:rPr>
              <w:t>Estate</w:t>
            </w:r>
            <w:r w:rsidRPr="008B205B">
              <w:rPr>
                <w:rFonts w:ascii="Times New Roman" w:eastAsia="Times New Roman" w:hAnsi="Times New Roman" w:cs="Times New Roman"/>
                <w:color w:val="000000"/>
                <w:sz w:val="24"/>
                <w:szCs w:val="24"/>
                <w:lang w:eastAsia="cs-CZ"/>
              </w:rPr>
              <w:t xml:space="preserve"> Finance a.s.</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500,000,000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19.12.2018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 xml:space="preserve">Trianon </w:t>
            </w:r>
            <w:r w:rsidRPr="008B205B">
              <w:rPr>
                <w:rFonts w:ascii="Times New Roman" w:eastAsia="Times New Roman" w:hAnsi="Times New Roman" w:cs="Times New Roman"/>
                <w:color w:val="000000"/>
                <w:sz w:val="24"/>
                <w:szCs w:val="24"/>
                <w:lang w:eastAsia="cs-CZ"/>
              </w:rPr>
              <w:t>Building</w:t>
            </w:r>
            <w:r w:rsidRPr="008B205B">
              <w:rPr>
                <w:rFonts w:ascii="Times New Roman" w:eastAsia="Times New Roman" w:hAnsi="Times New Roman" w:cs="Times New Roman"/>
                <w:color w:val="000000"/>
                <w:sz w:val="24"/>
                <w:szCs w:val="24"/>
                <w:lang w:eastAsia="cs-CZ"/>
              </w:rPr>
              <w:t xml:space="preserve"> Prague s.r.o.</w:t>
            </w:r>
          </w:p>
        </w:tc>
        <w:tc>
          <w:tcPr>
            <w:tcW w:w="200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600,000,000</w:t>
            </w:r>
          </w:p>
        </w:tc>
        <w:tc>
          <w:tcPr>
            <w:tcW w:w="1817"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20.12.2018</w:t>
            </w:r>
          </w:p>
        </w:tc>
      </w:tr>
      <w:tr w:rsidTr="008B205B">
        <w:tblPrEx>
          <w:tblW w:w="9010" w:type="dxa"/>
          <w:tblCellMar>
            <w:left w:w="70" w:type="dxa"/>
            <w:right w:w="70" w:type="dxa"/>
          </w:tblCellMar>
          <w:tblLook w:val="04A0"/>
        </w:tblPrEx>
        <w:trPr>
          <w:trHeight w:val="280"/>
        </w:trPr>
        <w:tc>
          <w:tcPr>
            <w:tcW w:w="5186" w:type="dxa"/>
            <w:tcBorders>
              <w:top w:val="nil"/>
              <w:left w:val="nil"/>
              <w:bottom w:val="single" w:sz="4" w:space="0" w:color="auto"/>
              <w:right w:val="nil"/>
            </w:tcBorders>
            <w:shd w:val="clear" w:color="000000" w:fill="AEAAAA"/>
            <w:vAlign w:val="bottom"/>
            <w:hideMark/>
          </w:tcPr>
          <w:p w:rsidR="008B205B" w:rsidRPr="008B205B" w:rsidP="00847BA5">
            <w:pPr>
              <w:spacing w:after="0" w:line="240" w:lineRule="auto"/>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Suma</w:t>
            </w:r>
          </w:p>
        </w:tc>
        <w:tc>
          <w:tcPr>
            <w:tcW w:w="2007" w:type="dxa"/>
            <w:tcBorders>
              <w:top w:val="nil"/>
              <w:left w:val="nil"/>
              <w:bottom w:val="single" w:sz="4" w:space="0" w:color="auto"/>
              <w:right w:val="nil"/>
            </w:tcBorders>
            <w:shd w:val="clear" w:color="000000" w:fill="AEAAAA"/>
            <w:vAlign w:val="bottom"/>
            <w:hideMark/>
          </w:tcPr>
          <w:p w:rsidR="008B205B" w:rsidRPr="008B205B" w:rsidP="00847BA5">
            <w:pPr>
              <w:spacing w:after="0" w:line="240" w:lineRule="auto"/>
              <w:jc w:val="right"/>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27,404,000,000</w:t>
            </w:r>
          </w:p>
        </w:tc>
        <w:tc>
          <w:tcPr>
            <w:tcW w:w="1817" w:type="dxa"/>
            <w:tcBorders>
              <w:top w:val="nil"/>
              <w:left w:val="nil"/>
              <w:bottom w:val="single" w:sz="4" w:space="0" w:color="auto"/>
              <w:right w:val="nil"/>
            </w:tcBorders>
            <w:shd w:val="clear" w:color="000000" w:fill="AEAAAA"/>
            <w:noWrap/>
            <w:vAlign w:val="bottom"/>
            <w:hideMark/>
          </w:tcPr>
          <w:p w:rsidR="008B205B" w:rsidRPr="008B205B" w:rsidP="00847BA5">
            <w:pPr>
              <w:spacing w:after="0" w:line="240" w:lineRule="auto"/>
              <w:jc w:val="center"/>
              <w:rPr>
                <w:rFonts w:ascii="Times New Roman" w:eastAsia="Times New Roman" w:hAnsi="Times New Roman" w:cs="Times New Roman"/>
                <w:color w:val="000000"/>
                <w:sz w:val="24"/>
                <w:szCs w:val="24"/>
                <w:lang w:eastAsia="cs-CZ"/>
              </w:rPr>
            </w:pPr>
            <w:r w:rsidRPr="008B205B">
              <w:rPr>
                <w:rFonts w:ascii="Times New Roman" w:eastAsia="Times New Roman" w:hAnsi="Times New Roman" w:cs="Times New Roman"/>
                <w:color w:val="000000"/>
                <w:sz w:val="24"/>
                <w:szCs w:val="24"/>
                <w:lang w:eastAsia="cs-CZ"/>
              </w:rPr>
              <w:t>-</w:t>
            </w:r>
          </w:p>
        </w:tc>
      </w:tr>
    </w:tbl>
    <w:p w:rsidR="008B205B" w:rsidRPr="00847BA5" w:rsidP="00847BA5">
      <w:pPr>
        <w:pStyle w:val="Caption"/>
        <w:spacing w:before="160" w:after="160"/>
        <w:jc w:val="left"/>
        <w:rPr>
          <w:rFonts w:ascii="Times New Roman" w:hAnsi="Times New Roman" w:cs="Times New Roman"/>
          <w:color w:val="auto"/>
          <w:sz w:val="22"/>
          <w:szCs w:val="24"/>
          <w:lang w:val="en-GB"/>
        </w:rPr>
      </w:pPr>
      <w:r w:rsidRPr="00847BA5">
        <w:rPr>
          <w:rFonts w:ascii="Times New Roman" w:hAnsi="Times New Roman" w:cs="Times New Roman"/>
          <w:color w:val="auto"/>
          <w:sz w:val="22"/>
          <w:szCs w:val="24"/>
        </w:rPr>
        <w:t>Zdroj: BCPP</w:t>
      </w:r>
      <w:r w:rsidR="00847BA5">
        <w:rPr>
          <w:rFonts w:ascii="Times New Roman" w:hAnsi="Times New Roman" w:cs="Times New Roman"/>
          <w:color w:val="auto"/>
          <w:sz w:val="22"/>
          <w:szCs w:val="24"/>
        </w:rPr>
        <w:t xml:space="preserve"> (zpracování MF)</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Tabulka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Tabulka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5</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Nové emise dluhopisů přijaté na BCPP v roce 2019</w:t>
      </w:r>
    </w:p>
    <w:tbl>
      <w:tblPr>
        <w:tblW w:w="9012" w:type="dxa"/>
        <w:tblCellMar>
          <w:left w:w="70" w:type="dxa"/>
          <w:right w:w="70" w:type="dxa"/>
        </w:tblCellMar>
        <w:tblLook w:val="04A0"/>
      </w:tblPr>
      <w:tblGrid>
        <w:gridCol w:w="5546"/>
        <w:gridCol w:w="1733"/>
        <w:gridCol w:w="1733"/>
      </w:tblGrid>
      <w:tr w:rsidTr="008B205B">
        <w:tblPrEx>
          <w:tblW w:w="9012" w:type="dxa"/>
          <w:tblCellMar>
            <w:left w:w="70" w:type="dxa"/>
            <w:right w:w="70" w:type="dxa"/>
          </w:tblCellMar>
          <w:tblLook w:val="04A0"/>
        </w:tblPrEx>
        <w:trPr>
          <w:trHeight w:val="287"/>
        </w:trPr>
        <w:tc>
          <w:tcPr>
            <w:tcW w:w="5546" w:type="dxa"/>
            <w:tcBorders>
              <w:top w:val="nil"/>
              <w:left w:val="nil"/>
              <w:bottom w:val="nil"/>
              <w:right w:val="nil"/>
            </w:tcBorders>
            <w:shd w:val="clear" w:color="000000" w:fill="002060"/>
            <w:vAlign w:val="center"/>
            <w:hideMark/>
          </w:tcPr>
          <w:p w:rsidR="008B205B" w:rsidRPr="008B205B" w:rsidP="00847BA5">
            <w:pPr>
              <w:spacing w:after="0" w:line="240" w:lineRule="auto"/>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Emitent</w:t>
            </w:r>
          </w:p>
        </w:tc>
        <w:tc>
          <w:tcPr>
            <w:tcW w:w="1733" w:type="dxa"/>
            <w:tcBorders>
              <w:top w:val="nil"/>
              <w:left w:val="nil"/>
              <w:bottom w:val="nil"/>
              <w:right w:val="nil"/>
            </w:tcBorders>
            <w:shd w:val="clear" w:color="000000" w:fill="002060"/>
            <w:vAlign w:val="center"/>
            <w:hideMark/>
          </w:tcPr>
          <w:p w:rsidR="008B205B" w:rsidRPr="008B205B" w:rsidP="00847BA5">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Objem emise</w:t>
            </w:r>
          </w:p>
        </w:tc>
        <w:tc>
          <w:tcPr>
            <w:tcW w:w="1733" w:type="dxa"/>
            <w:tcBorders>
              <w:top w:val="nil"/>
              <w:left w:val="nil"/>
              <w:bottom w:val="nil"/>
              <w:right w:val="nil"/>
            </w:tcBorders>
            <w:shd w:val="clear" w:color="000000" w:fill="002060"/>
            <w:vAlign w:val="center"/>
            <w:hideMark/>
          </w:tcPr>
          <w:p w:rsidR="008B205B" w:rsidRPr="008B205B" w:rsidP="00847BA5">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Datum přijetí do BCPP</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 xml:space="preserve">J&amp;T </w:t>
            </w:r>
            <w:r w:rsidRPr="008B205B">
              <w:rPr>
                <w:rFonts w:ascii="Times New Roman" w:eastAsia="Times New Roman" w:hAnsi="Times New Roman" w:cs="Times New Roman"/>
                <w:sz w:val="24"/>
                <w:szCs w:val="24"/>
                <w:lang w:eastAsia="cs-CZ"/>
              </w:rPr>
              <w:t>Global</w:t>
            </w:r>
            <w:r w:rsidRPr="008B205B">
              <w:rPr>
                <w:rFonts w:ascii="Times New Roman" w:eastAsia="Times New Roman" w:hAnsi="Times New Roman" w:cs="Times New Roman"/>
                <w:sz w:val="24"/>
                <w:szCs w:val="24"/>
                <w:lang w:eastAsia="cs-CZ"/>
              </w:rPr>
              <w:t xml:space="preserve"> Finance X., s.r.o.</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4,500,000,000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14.01.2019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FIDUROCK Nemovitosti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450,000,000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30.01.2019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Rohlik.cz Finance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777,000,000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30.04.2019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RSBC INVEST s.r.o.</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339,000,000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16.05.2019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Natland</w:t>
            </w:r>
            <w:r w:rsidRPr="008B205B">
              <w:rPr>
                <w:rFonts w:ascii="Times New Roman" w:eastAsia="Times New Roman" w:hAnsi="Times New Roman" w:cs="Times New Roman"/>
                <w:sz w:val="24"/>
                <w:szCs w:val="24"/>
                <w:lang w:eastAsia="cs-CZ"/>
              </w:rPr>
              <w:t xml:space="preserve"> rezidenční </w:t>
            </w:r>
            <w:r w:rsidRPr="008B205B">
              <w:rPr>
                <w:rFonts w:ascii="Times New Roman" w:eastAsia="Times New Roman" w:hAnsi="Times New Roman" w:cs="Times New Roman"/>
                <w:sz w:val="24"/>
                <w:szCs w:val="24"/>
                <w:lang w:eastAsia="cs-CZ"/>
              </w:rPr>
              <w:t>inv</w:t>
            </w:r>
            <w:r w:rsidRPr="008B205B">
              <w:rPr>
                <w:rFonts w:ascii="Times New Roman" w:eastAsia="Times New Roman" w:hAnsi="Times New Roman" w:cs="Times New Roman"/>
                <w:sz w:val="24"/>
                <w:szCs w:val="24"/>
                <w:lang w:eastAsia="cs-CZ"/>
              </w:rPr>
              <w:t xml:space="preserve">. fond s proměnným </w:t>
            </w:r>
            <w:r w:rsidRPr="008B205B">
              <w:rPr>
                <w:rFonts w:ascii="Times New Roman" w:eastAsia="Times New Roman" w:hAnsi="Times New Roman" w:cs="Times New Roman"/>
                <w:sz w:val="24"/>
                <w:szCs w:val="24"/>
                <w:lang w:eastAsia="cs-CZ"/>
              </w:rPr>
              <w:t>zákl</w:t>
            </w:r>
            <w:r w:rsidRPr="008B205B">
              <w:rPr>
                <w:rFonts w:ascii="Times New Roman" w:eastAsia="Times New Roman" w:hAnsi="Times New Roman" w:cs="Times New Roman"/>
                <w:sz w:val="24"/>
                <w:szCs w:val="24"/>
                <w:lang w:eastAsia="cs-CZ"/>
              </w:rPr>
              <w:t xml:space="preserve"> kap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450,000,000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27.05.2019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 xml:space="preserve">JTRE </w:t>
            </w:r>
            <w:r w:rsidRPr="008B205B">
              <w:rPr>
                <w:rFonts w:ascii="Times New Roman" w:eastAsia="Times New Roman" w:hAnsi="Times New Roman" w:cs="Times New Roman"/>
                <w:sz w:val="24"/>
                <w:szCs w:val="24"/>
                <w:lang w:eastAsia="cs-CZ"/>
              </w:rPr>
              <w:t>Financing</w:t>
            </w:r>
            <w:r w:rsidRPr="008B205B">
              <w:rPr>
                <w:rFonts w:ascii="Times New Roman" w:eastAsia="Times New Roman" w:hAnsi="Times New Roman" w:cs="Times New Roman"/>
                <w:sz w:val="24"/>
                <w:szCs w:val="24"/>
                <w:lang w:eastAsia="cs-CZ"/>
              </w:rPr>
              <w:t xml:space="preserve"> 3, s.r.o.</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3,330,000,000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10.06.2019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RegioJet</w:t>
            </w:r>
            <w:r w:rsidRPr="008B205B">
              <w:rPr>
                <w:rFonts w:ascii="Times New Roman" w:eastAsia="Times New Roman" w:hAnsi="Times New Roman" w:cs="Times New Roman"/>
                <w:sz w:val="24"/>
                <w:szCs w:val="24"/>
                <w:lang w:eastAsia="cs-CZ"/>
              </w:rPr>
              <w:t xml:space="preserve"> Finance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921,000,000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26.06.2019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Aquila</w:t>
            </w:r>
            <w:r w:rsidRPr="008B205B">
              <w:rPr>
                <w:rFonts w:ascii="Times New Roman" w:eastAsia="Times New Roman" w:hAnsi="Times New Roman" w:cs="Times New Roman"/>
                <w:sz w:val="24"/>
                <w:szCs w:val="24"/>
                <w:lang w:eastAsia="cs-CZ"/>
              </w:rPr>
              <w:t xml:space="preserve"> Real </w:t>
            </w:r>
            <w:r w:rsidRPr="008B205B">
              <w:rPr>
                <w:rFonts w:ascii="Times New Roman" w:eastAsia="Times New Roman" w:hAnsi="Times New Roman" w:cs="Times New Roman"/>
                <w:sz w:val="24"/>
                <w:szCs w:val="24"/>
                <w:lang w:eastAsia="cs-CZ"/>
              </w:rPr>
              <w:t>Asset</w:t>
            </w:r>
            <w:r w:rsidRPr="008B205B">
              <w:rPr>
                <w:rFonts w:ascii="Times New Roman" w:eastAsia="Times New Roman" w:hAnsi="Times New Roman" w:cs="Times New Roman"/>
                <w:sz w:val="24"/>
                <w:szCs w:val="24"/>
                <w:lang w:eastAsia="cs-CZ"/>
              </w:rPr>
              <w:t xml:space="preserve"> Finance II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1,000,000,000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08.07.2019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J&amp;T ENERGY FINANCING CZK IV,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894,000,000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08.08.2019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Pražské služby,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500,000,000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30.08.2019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SAZKA Group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6,000,000,000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23.09.2019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 xml:space="preserve">Europa </w:t>
            </w:r>
            <w:r w:rsidRPr="008B205B">
              <w:rPr>
                <w:rFonts w:ascii="Times New Roman" w:eastAsia="Times New Roman" w:hAnsi="Times New Roman" w:cs="Times New Roman"/>
                <w:sz w:val="24"/>
                <w:szCs w:val="24"/>
                <w:lang w:eastAsia="cs-CZ"/>
              </w:rPr>
              <w:t>Investment</w:t>
            </w:r>
            <w:r w:rsidRPr="008B205B">
              <w:rPr>
                <w:rFonts w:ascii="Times New Roman" w:eastAsia="Times New Roman" w:hAnsi="Times New Roman" w:cs="Times New Roman"/>
                <w:sz w:val="24"/>
                <w:szCs w:val="24"/>
                <w:lang w:eastAsia="cs-CZ"/>
              </w:rPr>
              <w:t xml:space="preserve"> </w:t>
            </w:r>
            <w:r w:rsidRPr="008B205B">
              <w:rPr>
                <w:rFonts w:ascii="Times New Roman" w:eastAsia="Times New Roman" w:hAnsi="Times New Roman" w:cs="Times New Roman"/>
                <w:sz w:val="24"/>
                <w:szCs w:val="24"/>
                <w:lang w:eastAsia="cs-CZ"/>
              </w:rPr>
              <w:t>Property</w:t>
            </w:r>
            <w:r w:rsidRPr="008B205B">
              <w:rPr>
                <w:rFonts w:ascii="Times New Roman" w:eastAsia="Times New Roman" w:hAnsi="Times New Roman" w:cs="Times New Roman"/>
                <w:sz w:val="24"/>
                <w:szCs w:val="24"/>
                <w:lang w:eastAsia="cs-CZ"/>
              </w:rPr>
              <w:t xml:space="preserve"> CZ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100,000,000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09.10.2019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UNICAPITAL Invest III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750,000,000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30.10.2019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CZECHOSLOVAK GROUP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2,000,000,000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01.11.2019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 xml:space="preserve">Europa </w:t>
            </w:r>
            <w:r w:rsidRPr="008B205B">
              <w:rPr>
                <w:rFonts w:ascii="Times New Roman" w:eastAsia="Times New Roman" w:hAnsi="Times New Roman" w:cs="Times New Roman"/>
                <w:sz w:val="24"/>
                <w:szCs w:val="24"/>
                <w:lang w:eastAsia="cs-CZ"/>
              </w:rPr>
              <w:t>Investment</w:t>
            </w:r>
            <w:r w:rsidRPr="008B205B">
              <w:rPr>
                <w:rFonts w:ascii="Times New Roman" w:eastAsia="Times New Roman" w:hAnsi="Times New Roman" w:cs="Times New Roman"/>
                <w:sz w:val="24"/>
                <w:szCs w:val="24"/>
                <w:lang w:eastAsia="cs-CZ"/>
              </w:rPr>
              <w:t xml:space="preserve"> </w:t>
            </w:r>
            <w:r w:rsidRPr="008B205B">
              <w:rPr>
                <w:rFonts w:ascii="Times New Roman" w:eastAsia="Times New Roman" w:hAnsi="Times New Roman" w:cs="Times New Roman"/>
                <w:sz w:val="24"/>
                <w:szCs w:val="24"/>
                <w:lang w:eastAsia="cs-CZ"/>
              </w:rPr>
              <w:t>Property</w:t>
            </w:r>
            <w:r w:rsidRPr="008B205B">
              <w:rPr>
                <w:rFonts w:ascii="Times New Roman" w:eastAsia="Times New Roman" w:hAnsi="Times New Roman" w:cs="Times New Roman"/>
                <w:sz w:val="24"/>
                <w:szCs w:val="24"/>
                <w:lang w:eastAsia="cs-CZ"/>
              </w:rPr>
              <w:t xml:space="preserve"> CZ a.s.</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50,000,000</w:t>
            </w:r>
          </w:p>
        </w:tc>
        <w:tc>
          <w:tcPr>
            <w:tcW w:w="1733" w:type="dxa"/>
            <w:tcBorders>
              <w:top w:val="nil"/>
              <w:left w:val="nil"/>
              <w:bottom w:val="single" w:sz="4" w:space="0" w:color="auto"/>
              <w:right w:val="nil"/>
            </w:tcBorders>
            <w:shd w:val="clear" w:color="000000" w:fill="FFFFFF"/>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05.12.2019</w:t>
            </w:r>
          </w:p>
        </w:tc>
      </w:tr>
      <w:tr w:rsidTr="008B205B">
        <w:tblPrEx>
          <w:tblW w:w="9012" w:type="dxa"/>
          <w:tblCellMar>
            <w:left w:w="70" w:type="dxa"/>
            <w:right w:w="70" w:type="dxa"/>
          </w:tblCellMar>
          <w:tblLook w:val="04A0"/>
        </w:tblPrEx>
        <w:trPr>
          <w:trHeight w:val="287"/>
        </w:trPr>
        <w:tc>
          <w:tcPr>
            <w:tcW w:w="5546" w:type="dxa"/>
            <w:tcBorders>
              <w:top w:val="nil"/>
              <w:left w:val="nil"/>
              <w:bottom w:val="single" w:sz="4" w:space="0" w:color="auto"/>
              <w:right w:val="nil"/>
            </w:tcBorders>
            <w:shd w:val="clear" w:color="000000" w:fill="AEAAAA"/>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Suma</w:t>
            </w:r>
          </w:p>
        </w:tc>
        <w:tc>
          <w:tcPr>
            <w:tcW w:w="1733" w:type="dxa"/>
            <w:tcBorders>
              <w:top w:val="nil"/>
              <w:left w:val="nil"/>
              <w:bottom w:val="single" w:sz="4" w:space="0" w:color="auto"/>
              <w:right w:val="nil"/>
            </w:tcBorders>
            <w:shd w:val="clear" w:color="000000" w:fill="AEAAAA"/>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22,061,000,000</w:t>
            </w:r>
          </w:p>
        </w:tc>
        <w:tc>
          <w:tcPr>
            <w:tcW w:w="1733" w:type="dxa"/>
            <w:tcBorders>
              <w:top w:val="nil"/>
              <w:left w:val="nil"/>
              <w:bottom w:val="single" w:sz="4" w:space="0" w:color="auto"/>
              <w:right w:val="nil"/>
            </w:tcBorders>
            <w:shd w:val="clear" w:color="000000" w:fill="AEAAAA"/>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w:t>
            </w:r>
          </w:p>
        </w:tc>
      </w:tr>
    </w:tbl>
    <w:p w:rsidR="00454A7C" w:rsidP="00454A7C">
      <w:pPr>
        <w:pStyle w:val="Caption"/>
        <w:keepNext/>
        <w:spacing w:before="160" w:after="160"/>
        <w:jc w:val="left"/>
        <w:rPr>
          <w:rFonts w:ascii="Times New Roman" w:hAnsi="Times New Roman" w:cs="Times New Roman"/>
          <w:color w:val="auto"/>
          <w:sz w:val="22"/>
          <w:szCs w:val="24"/>
        </w:rPr>
      </w:pPr>
      <w:r w:rsidRPr="00454A7C">
        <w:rPr>
          <w:rFonts w:ascii="Times New Roman" w:hAnsi="Times New Roman" w:cs="Times New Roman"/>
          <w:color w:val="auto"/>
          <w:sz w:val="22"/>
          <w:szCs w:val="24"/>
        </w:rPr>
        <w:t>Zdroj: BCPP</w:t>
      </w:r>
      <w:r>
        <w:rPr>
          <w:rFonts w:ascii="Times New Roman" w:hAnsi="Times New Roman" w:cs="Times New Roman"/>
          <w:color w:val="auto"/>
          <w:sz w:val="22"/>
          <w:szCs w:val="24"/>
        </w:rPr>
        <w:t xml:space="preserve"> (zpracování MF)</w:t>
      </w:r>
    </w:p>
    <w:p w:rsidR="008B205B" w:rsidRPr="008B205B" w:rsidP="00454A7C">
      <w:pPr>
        <w:pStyle w:val="Caption"/>
        <w:keepNext/>
        <w:spacing w:before="160" w:after="160"/>
        <w:jc w:val="left"/>
        <w:rPr>
          <w:rFonts w:ascii="Times New Roman" w:hAnsi="Times New Roman" w:cs="Times New Roman"/>
          <w:color w:val="auto"/>
          <w:sz w:val="24"/>
          <w:szCs w:val="24"/>
        </w:rPr>
      </w:pPr>
      <w:r w:rsidRPr="00F12107">
        <w:rPr>
          <w:rFonts w:ascii="Times New Roman" w:hAnsi="Times New Roman" w:cs="Times New Roman"/>
          <w:color w:val="auto"/>
          <w:sz w:val="24"/>
          <w:szCs w:val="24"/>
          <w:u w:val="single"/>
        </w:rPr>
        <w:t xml:space="preserve">Tabulka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Tabulka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6</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Nové emise dluhopisů přijaté na BCPP v roce 2020</w:t>
      </w:r>
    </w:p>
    <w:tbl>
      <w:tblPr>
        <w:tblW w:w="9012" w:type="dxa"/>
        <w:tblCellMar>
          <w:left w:w="70" w:type="dxa"/>
          <w:right w:w="70" w:type="dxa"/>
        </w:tblCellMar>
        <w:tblLook w:val="04A0"/>
      </w:tblPr>
      <w:tblGrid>
        <w:gridCol w:w="4762"/>
        <w:gridCol w:w="1915"/>
        <w:gridCol w:w="2335"/>
      </w:tblGrid>
      <w:tr w:rsidTr="008B205B">
        <w:tblPrEx>
          <w:tblW w:w="9012" w:type="dxa"/>
          <w:tblCellMar>
            <w:left w:w="70" w:type="dxa"/>
            <w:right w:w="70" w:type="dxa"/>
          </w:tblCellMar>
          <w:tblLook w:val="04A0"/>
        </w:tblPrEx>
        <w:trPr>
          <w:trHeight w:val="307"/>
        </w:trPr>
        <w:tc>
          <w:tcPr>
            <w:tcW w:w="4762" w:type="dxa"/>
            <w:tcBorders>
              <w:top w:val="nil"/>
              <w:left w:val="nil"/>
              <w:bottom w:val="nil"/>
              <w:right w:val="nil"/>
            </w:tcBorders>
            <w:shd w:val="clear" w:color="000000" w:fill="002060"/>
            <w:vAlign w:val="center"/>
            <w:hideMark/>
          </w:tcPr>
          <w:p w:rsidR="008B205B" w:rsidRPr="008B205B" w:rsidP="00847BA5">
            <w:pPr>
              <w:spacing w:after="0" w:line="240" w:lineRule="auto"/>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Emitent</w:t>
            </w:r>
          </w:p>
        </w:tc>
        <w:tc>
          <w:tcPr>
            <w:tcW w:w="1915" w:type="dxa"/>
            <w:tcBorders>
              <w:top w:val="nil"/>
              <w:left w:val="nil"/>
              <w:bottom w:val="nil"/>
              <w:right w:val="nil"/>
            </w:tcBorders>
            <w:shd w:val="clear" w:color="000000" w:fill="002060"/>
            <w:vAlign w:val="center"/>
            <w:hideMark/>
          </w:tcPr>
          <w:p w:rsidR="008B205B" w:rsidRPr="008B205B" w:rsidP="00847BA5">
            <w:pPr>
              <w:spacing w:after="0" w:line="240" w:lineRule="auto"/>
              <w:jc w:val="right"/>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Objem emise</w:t>
            </w:r>
          </w:p>
        </w:tc>
        <w:tc>
          <w:tcPr>
            <w:tcW w:w="2335" w:type="dxa"/>
            <w:tcBorders>
              <w:top w:val="nil"/>
              <w:left w:val="nil"/>
              <w:bottom w:val="nil"/>
              <w:right w:val="nil"/>
            </w:tcBorders>
            <w:shd w:val="clear" w:color="000000" w:fill="002060"/>
            <w:vAlign w:val="center"/>
            <w:hideMark/>
          </w:tcPr>
          <w:p w:rsidR="008B205B" w:rsidRPr="008B205B" w:rsidP="00847BA5">
            <w:pPr>
              <w:spacing w:after="0" w:line="240" w:lineRule="auto"/>
              <w:jc w:val="center"/>
              <w:rPr>
                <w:rFonts w:ascii="Times New Roman" w:eastAsia="Times New Roman" w:hAnsi="Times New Roman" w:cs="Times New Roman"/>
                <w:color w:val="FFFFFF"/>
                <w:sz w:val="24"/>
                <w:szCs w:val="24"/>
                <w:lang w:eastAsia="cs-CZ"/>
              </w:rPr>
            </w:pPr>
            <w:r w:rsidRPr="008B205B">
              <w:rPr>
                <w:rFonts w:ascii="Times New Roman" w:eastAsia="Times New Roman" w:hAnsi="Times New Roman" w:cs="Times New Roman"/>
                <w:color w:val="FFFFFF"/>
                <w:sz w:val="24"/>
                <w:szCs w:val="24"/>
                <w:lang w:eastAsia="cs-CZ"/>
              </w:rPr>
              <w:t>Datum přijetí do BCPP</w:t>
            </w:r>
          </w:p>
        </w:tc>
      </w:tr>
      <w:tr w:rsidTr="008B205B">
        <w:tblPrEx>
          <w:tblW w:w="9012" w:type="dxa"/>
          <w:tblCellMar>
            <w:left w:w="70" w:type="dxa"/>
            <w:right w:w="70" w:type="dxa"/>
          </w:tblCellMar>
          <w:tblLook w:val="04A0"/>
        </w:tblPrEx>
        <w:trPr>
          <w:trHeight w:val="307"/>
        </w:trPr>
        <w:tc>
          <w:tcPr>
            <w:tcW w:w="4762"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Heureka</w:t>
            </w:r>
            <w:r w:rsidRPr="008B205B">
              <w:rPr>
                <w:rFonts w:ascii="Times New Roman" w:eastAsia="Times New Roman" w:hAnsi="Times New Roman" w:cs="Times New Roman"/>
                <w:sz w:val="24"/>
                <w:szCs w:val="24"/>
                <w:lang w:eastAsia="cs-CZ"/>
              </w:rPr>
              <w:t xml:space="preserve"> </w:t>
            </w:r>
            <w:r w:rsidRPr="008B205B">
              <w:rPr>
                <w:rFonts w:ascii="Times New Roman" w:eastAsia="Times New Roman" w:hAnsi="Times New Roman" w:cs="Times New Roman"/>
                <w:sz w:val="24"/>
                <w:szCs w:val="24"/>
                <w:lang w:eastAsia="cs-CZ"/>
              </w:rPr>
              <w:t>FinCo</w:t>
            </w:r>
            <w:r w:rsidRPr="008B205B">
              <w:rPr>
                <w:rFonts w:ascii="Times New Roman" w:eastAsia="Times New Roman" w:hAnsi="Times New Roman" w:cs="Times New Roman"/>
                <w:sz w:val="24"/>
                <w:szCs w:val="24"/>
                <w:lang w:eastAsia="cs-CZ"/>
              </w:rPr>
              <w:t xml:space="preserve"> CZ a.s.</w:t>
            </w:r>
          </w:p>
        </w:tc>
        <w:tc>
          <w:tcPr>
            <w:tcW w:w="191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2,550,000,000</w:t>
            </w:r>
          </w:p>
        </w:tc>
        <w:tc>
          <w:tcPr>
            <w:tcW w:w="233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14.02.2020</w:t>
            </w:r>
          </w:p>
        </w:tc>
      </w:tr>
      <w:tr w:rsidTr="008B205B">
        <w:tblPrEx>
          <w:tblW w:w="9012" w:type="dxa"/>
          <w:tblCellMar>
            <w:left w:w="70" w:type="dxa"/>
            <w:right w:w="70" w:type="dxa"/>
          </w:tblCellMar>
          <w:tblLook w:val="04A0"/>
        </w:tblPrEx>
        <w:trPr>
          <w:trHeight w:val="307"/>
        </w:trPr>
        <w:tc>
          <w:tcPr>
            <w:tcW w:w="4762"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 xml:space="preserve">EPH </w:t>
            </w:r>
            <w:r w:rsidRPr="008B205B">
              <w:rPr>
                <w:rFonts w:ascii="Times New Roman" w:eastAsia="Times New Roman" w:hAnsi="Times New Roman" w:cs="Times New Roman"/>
                <w:sz w:val="24"/>
                <w:szCs w:val="24"/>
                <w:lang w:eastAsia="cs-CZ"/>
              </w:rPr>
              <w:t>Financing</w:t>
            </w:r>
            <w:r w:rsidRPr="008B205B">
              <w:rPr>
                <w:rFonts w:ascii="Times New Roman" w:eastAsia="Times New Roman" w:hAnsi="Times New Roman" w:cs="Times New Roman"/>
                <w:sz w:val="24"/>
                <w:szCs w:val="24"/>
                <w:lang w:eastAsia="cs-CZ"/>
              </w:rPr>
              <w:t xml:space="preserve"> CZ, a.s.</w:t>
            </w:r>
          </w:p>
        </w:tc>
        <w:tc>
          <w:tcPr>
            <w:tcW w:w="191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7,500,000,000</w:t>
            </w:r>
          </w:p>
        </w:tc>
        <w:tc>
          <w:tcPr>
            <w:tcW w:w="233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17.03.2020</w:t>
            </w:r>
          </w:p>
        </w:tc>
      </w:tr>
      <w:tr w:rsidTr="008B205B">
        <w:tblPrEx>
          <w:tblW w:w="9012" w:type="dxa"/>
          <w:tblCellMar>
            <w:left w:w="70" w:type="dxa"/>
            <w:right w:w="70" w:type="dxa"/>
          </w:tblCellMar>
          <w:tblLook w:val="04A0"/>
        </w:tblPrEx>
        <w:trPr>
          <w:trHeight w:val="307"/>
        </w:trPr>
        <w:tc>
          <w:tcPr>
            <w:tcW w:w="4762"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BigBoard</w:t>
            </w:r>
            <w:r w:rsidRPr="008B205B">
              <w:rPr>
                <w:rFonts w:ascii="Times New Roman" w:eastAsia="Times New Roman" w:hAnsi="Times New Roman" w:cs="Times New Roman"/>
                <w:sz w:val="24"/>
                <w:szCs w:val="24"/>
                <w:lang w:eastAsia="cs-CZ"/>
              </w:rPr>
              <w:t xml:space="preserve"> Praha, a.s.</w:t>
            </w:r>
          </w:p>
        </w:tc>
        <w:tc>
          <w:tcPr>
            <w:tcW w:w="191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470,000,000</w:t>
            </w:r>
          </w:p>
        </w:tc>
        <w:tc>
          <w:tcPr>
            <w:tcW w:w="233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02.04.2020</w:t>
            </w:r>
          </w:p>
        </w:tc>
      </w:tr>
      <w:tr w:rsidTr="008B205B">
        <w:tblPrEx>
          <w:tblW w:w="9012" w:type="dxa"/>
          <w:tblCellMar>
            <w:left w:w="70" w:type="dxa"/>
            <w:right w:w="70" w:type="dxa"/>
          </w:tblCellMar>
          <w:tblLook w:val="04A0"/>
        </w:tblPrEx>
        <w:trPr>
          <w:trHeight w:val="307"/>
        </w:trPr>
        <w:tc>
          <w:tcPr>
            <w:tcW w:w="4762"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NUPEH CZ s.r.o.</w:t>
            </w:r>
          </w:p>
        </w:tc>
        <w:tc>
          <w:tcPr>
            <w:tcW w:w="191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700,000,000</w:t>
            </w:r>
          </w:p>
        </w:tc>
        <w:tc>
          <w:tcPr>
            <w:tcW w:w="233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30.10.2020</w:t>
            </w:r>
          </w:p>
        </w:tc>
      </w:tr>
      <w:tr w:rsidTr="008B205B">
        <w:tblPrEx>
          <w:tblW w:w="9012" w:type="dxa"/>
          <w:tblCellMar>
            <w:left w:w="70" w:type="dxa"/>
            <w:right w:w="70" w:type="dxa"/>
          </w:tblCellMar>
          <w:tblLook w:val="04A0"/>
        </w:tblPrEx>
        <w:trPr>
          <w:trHeight w:val="307"/>
        </w:trPr>
        <w:tc>
          <w:tcPr>
            <w:tcW w:w="4762"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ENERGO-PRO Green Finance s.r.o.</w:t>
            </w:r>
          </w:p>
        </w:tc>
        <w:tc>
          <w:tcPr>
            <w:tcW w:w="191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530,000,000</w:t>
            </w:r>
          </w:p>
        </w:tc>
        <w:tc>
          <w:tcPr>
            <w:tcW w:w="2335" w:type="dxa"/>
            <w:tcBorders>
              <w:top w:val="nil"/>
              <w:left w:val="nil"/>
              <w:bottom w:val="single" w:sz="4" w:space="0" w:color="auto"/>
              <w:right w:val="nil"/>
            </w:tcBorders>
            <w:shd w:val="clear" w:color="auto" w:fill="auto"/>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30.10.2020</w:t>
            </w:r>
          </w:p>
        </w:tc>
      </w:tr>
      <w:tr w:rsidTr="008B205B">
        <w:tblPrEx>
          <w:tblW w:w="9012" w:type="dxa"/>
          <w:tblCellMar>
            <w:left w:w="70" w:type="dxa"/>
            <w:right w:w="70" w:type="dxa"/>
          </w:tblCellMar>
          <w:tblLook w:val="04A0"/>
        </w:tblPrEx>
        <w:trPr>
          <w:trHeight w:val="264"/>
        </w:trPr>
        <w:tc>
          <w:tcPr>
            <w:tcW w:w="4762" w:type="dxa"/>
            <w:tcBorders>
              <w:top w:val="nil"/>
              <w:left w:val="nil"/>
              <w:bottom w:val="single" w:sz="4" w:space="0" w:color="auto"/>
              <w:right w:val="nil"/>
            </w:tcBorders>
            <w:shd w:val="clear" w:color="000000" w:fill="AEAAAA"/>
            <w:noWrap/>
            <w:vAlign w:val="bottom"/>
            <w:hideMark/>
          </w:tcPr>
          <w:p w:rsidR="008B205B" w:rsidRPr="008B205B" w:rsidP="00847BA5">
            <w:pPr>
              <w:spacing w:after="0" w:line="240" w:lineRule="auto"/>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Suma</w:t>
            </w:r>
          </w:p>
        </w:tc>
        <w:tc>
          <w:tcPr>
            <w:tcW w:w="1915" w:type="dxa"/>
            <w:tcBorders>
              <w:top w:val="nil"/>
              <w:left w:val="nil"/>
              <w:bottom w:val="single" w:sz="4" w:space="0" w:color="auto"/>
              <w:right w:val="nil"/>
            </w:tcBorders>
            <w:shd w:val="clear" w:color="000000" w:fill="AEAAAA"/>
            <w:noWrap/>
            <w:vAlign w:val="bottom"/>
            <w:hideMark/>
          </w:tcPr>
          <w:p w:rsidR="008B205B" w:rsidRPr="008B205B" w:rsidP="00847BA5">
            <w:pPr>
              <w:spacing w:after="0" w:line="240" w:lineRule="auto"/>
              <w:jc w:val="right"/>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11,750,000,000</w:t>
            </w:r>
          </w:p>
        </w:tc>
        <w:tc>
          <w:tcPr>
            <w:tcW w:w="2335" w:type="dxa"/>
            <w:tcBorders>
              <w:top w:val="nil"/>
              <w:left w:val="nil"/>
              <w:bottom w:val="single" w:sz="4" w:space="0" w:color="auto"/>
              <w:right w:val="nil"/>
            </w:tcBorders>
            <w:shd w:val="clear" w:color="000000" w:fill="AEAAAA"/>
            <w:noWrap/>
            <w:vAlign w:val="bottom"/>
            <w:hideMark/>
          </w:tcPr>
          <w:p w:rsidR="008B205B" w:rsidRPr="008B205B" w:rsidP="00847BA5">
            <w:pPr>
              <w:spacing w:after="0" w:line="240" w:lineRule="auto"/>
              <w:jc w:val="center"/>
              <w:rPr>
                <w:rFonts w:ascii="Times New Roman" w:eastAsia="Times New Roman" w:hAnsi="Times New Roman" w:cs="Times New Roman"/>
                <w:sz w:val="24"/>
                <w:szCs w:val="24"/>
                <w:lang w:eastAsia="cs-CZ"/>
              </w:rPr>
            </w:pPr>
            <w:r w:rsidRPr="008B205B">
              <w:rPr>
                <w:rFonts w:ascii="Times New Roman" w:eastAsia="Times New Roman" w:hAnsi="Times New Roman" w:cs="Times New Roman"/>
                <w:sz w:val="24"/>
                <w:szCs w:val="24"/>
                <w:lang w:eastAsia="cs-CZ"/>
              </w:rPr>
              <w:t>-</w:t>
            </w:r>
          </w:p>
        </w:tc>
      </w:tr>
    </w:tbl>
    <w:p w:rsidR="00454A7C" w:rsidP="00454A7C">
      <w:pPr>
        <w:pStyle w:val="Caption"/>
        <w:spacing w:before="160" w:after="160"/>
        <w:jc w:val="left"/>
        <w:rPr>
          <w:rFonts w:ascii="Times New Roman" w:hAnsi="Times New Roman" w:cs="Times New Roman"/>
          <w:color w:val="auto"/>
          <w:sz w:val="24"/>
          <w:szCs w:val="24"/>
        </w:rPr>
      </w:pPr>
      <w:r w:rsidRPr="00454A7C">
        <w:rPr>
          <w:rFonts w:ascii="Times New Roman" w:hAnsi="Times New Roman" w:cs="Times New Roman"/>
          <w:color w:val="auto"/>
          <w:sz w:val="22"/>
          <w:szCs w:val="24"/>
        </w:rPr>
        <w:t>Zdroj: BCPP</w:t>
      </w:r>
      <w:r>
        <w:rPr>
          <w:rFonts w:ascii="Times New Roman" w:hAnsi="Times New Roman" w:cs="Times New Roman"/>
          <w:color w:val="auto"/>
          <w:sz w:val="22"/>
          <w:szCs w:val="24"/>
        </w:rPr>
        <w:t xml:space="preserve"> (zpracování MF)</w:t>
      </w:r>
    </w:p>
    <w:p w:rsidR="008B205B" w:rsidRPr="00847BA5" w:rsidP="00867155">
      <w:pPr>
        <w:spacing w:before="120"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4) </w:t>
      </w:r>
      <w:r w:rsidRPr="00847BA5">
        <w:rPr>
          <w:rFonts w:ascii="Times New Roman" w:hAnsi="Times New Roman" w:cs="Times New Roman"/>
          <w:b/>
          <w:i/>
          <w:sz w:val="24"/>
          <w:szCs w:val="24"/>
        </w:rPr>
        <w:t>Změna složení úspor domácností ve prospěch kapitálového trhu</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V Grafu 4 a v Tabulce 7 je dostupný přehled vývoje aktiv českých domácností, jejich jednotlivých složek a podílů těchto jednotlivých složek na celkových aktivech domácností. Je</w:t>
      </w:r>
      <w:r w:rsidR="0096527B">
        <w:rPr>
          <w:rFonts w:ascii="Times New Roman" w:hAnsi="Times New Roman" w:cs="Times New Roman"/>
          <w:sz w:val="24"/>
          <w:szCs w:val="24"/>
        </w:rPr>
        <w:t> </w:t>
      </w:r>
      <w:r w:rsidRPr="008B205B">
        <w:rPr>
          <w:rFonts w:ascii="Times New Roman" w:hAnsi="Times New Roman" w:cs="Times New Roman"/>
          <w:sz w:val="24"/>
          <w:szCs w:val="24"/>
        </w:rPr>
        <w:t xml:space="preserve">možné vypozorovat, že podíl hotovosti a depozit na celkových aktivech domácností je s přehledem nejvyšší a i když v roce 2019 mírně poklesl na 44,4 %, tak do poloviny roku naopak znovu stoupl na hodnotu 45 %. Nezanedbatelnou část celkových aktiv domácností představují také podíly na vlastním kapitálu, avšak akcie kótované na burze, které jsou podsložkou podílů na vlastním kapitálu, tvořily v první polovině roku 2020 jen 3,3% podíl na celkových aktivech domácností. Nicméně, pozitivním jevem u kótovaných akcií je růst podílu z původního 1 % v roce 2019 na zmíněných 3,3 %. To může z části souviset jednak se stále dostupnějšími </w:t>
      </w:r>
      <w:r w:rsidRPr="008B205B">
        <w:rPr>
          <w:rFonts w:ascii="Times New Roman" w:hAnsi="Times New Roman" w:cs="Times New Roman"/>
          <w:sz w:val="24"/>
          <w:szCs w:val="24"/>
        </w:rPr>
        <w:t xml:space="preserve">možnostmi investování do instrumentů kapitálového trhu a jednak růstem popularity investování do akcií spojeným s pandemií </w:t>
      </w:r>
      <w:r w:rsidRPr="008B205B">
        <w:rPr>
          <w:rFonts w:ascii="Times New Roman" w:hAnsi="Times New Roman" w:cs="Times New Roman"/>
          <w:sz w:val="24"/>
          <w:szCs w:val="24"/>
        </w:rPr>
        <w:t>koronaviru</w:t>
      </w:r>
      <w:r w:rsidRPr="008B205B">
        <w:rPr>
          <w:rFonts w:ascii="Times New Roman" w:hAnsi="Times New Roman" w:cs="Times New Roman"/>
          <w:sz w:val="24"/>
          <w:szCs w:val="24"/>
        </w:rPr>
        <w:t>.</w:t>
      </w:r>
    </w:p>
    <w:p w:rsidR="008B205B" w:rsidRPr="008B205B" w:rsidP="00867155">
      <w:pPr>
        <w:spacing w:before="120" w:after="120" w:line="240" w:lineRule="auto"/>
        <w:jc w:val="both"/>
        <w:rPr>
          <w:rFonts w:ascii="Times New Roman" w:hAnsi="Times New Roman" w:cs="Times New Roman"/>
          <w:sz w:val="24"/>
          <w:szCs w:val="24"/>
        </w:rPr>
      </w:pPr>
      <w:r w:rsidRPr="008B205B">
        <w:rPr>
          <w:rFonts w:ascii="Times New Roman" w:hAnsi="Times New Roman" w:cs="Times New Roman"/>
          <w:sz w:val="24"/>
          <w:szCs w:val="24"/>
        </w:rPr>
        <w:t>Zatímco podíl kótovaných akcií na aktivech domácností rostl, podíl dluhových cenných papírů a podíl podílů ve fondech zůstávaly od roku 2018 do poloviny roku 2020 na přibližně podobných hodnotách, a to 1,8 %, respektive 6,6 %. Ten samý trend by se dal aplikovat také na penzijní spoření, jehož podíl v celém sledovaném období vyk</w:t>
      </w:r>
      <w:r w:rsidR="002128E1">
        <w:rPr>
          <w:rFonts w:ascii="Times New Roman" w:hAnsi="Times New Roman" w:cs="Times New Roman"/>
          <w:sz w:val="24"/>
          <w:szCs w:val="24"/>
        </w:rPr>
        <w:t>azoval stejnou hodnotu 6,4 %. A </w:t>
      </w:r>
      <w:r w:rsidRPr="008B205B">
        <w:rPr>
          <w:rFonts w:ascii="Times New Roman" w:hAnsi="Times New Roman" w:cs="Times New Roman"/>
          <w:sz w:val="24"/>
          <w:szCs w:val="24"/>
        </w:rPr>
        <w:t>v neposlední řadě je věnován pohled také položce pojištění, které však každoročně klesalo a z hodnoty podílu 4,4 % v roce 2018 pokleslo na 3,9 % v polovině roku 2020.</w:t>
      </w:r>
    </w:p>
    <w:p w:rsidR="008B205B" w:rsidRPr="008B205B" w:rsidP="00454A7C">
      <w:pPr>
        <w:pStyle w:val="Caption"/>
        <w:keepNext/>
        <w:spacing w:before="160" w:after="160"/>
        <w:jc w:val="left"/>
        <w:rPr>
          <w:rFonts w:ascii="Times New Roman" w:hAnsi="Times New Roman" w:cs="Times New Roman"/>
          <w:sz w:val="24"/>
          <w:szCs w:val="24"/>
        </w:rPr>
      </w:pPr>
      <w:r w:rsidRPr="00F12107">
        <w:rPr>
          <w:rFonts w:ascii="Times New Roman" w:hAnsi="Times New Roman" w:cs="Times New Roman"/>
          <w:color w:val="auto"/>
          <w:sz w:val="24"/>
          <w:szCs w:val="24"/>
          <w:u w:val="single"/>
        </w:rPr>
        <w:t xml:space="preserve">Graf </w:t>
      </w:r>
      <w:r w:rsidRPr="00F12107">
        <w:rPr>
          <w:rFonts w:ascii="Times New Roman" w:hAnsi="Times New Roman" w:cs="Times New Roman"/>
          <w:color w:val="auto"/>
          <w:sz w:val="24"/>
          <w:szCs w:val="24"/>
          <w:u w:val="single"/>
        </w:rPr>
        <w:fldChar w:fldCharType="begin"/>
      </w:r>
      <w:r w:rsidRPr="00F12107">
        <w:rPr>
          <w:rFonts w:ascii="Times New Roman" w:hAnsi="Times New Roman" w:cs="Times New Roman"/>
          <w:color w:val="auto"/>
          <w:sz w:val="24"/>
          <w:szCs w:val="24"/>
          <w:u w:val="single"/>
        </w:rPr>
        <w:instrText xml:space="preserve"> SEQ Graf \* ARABIC </w:instrText>
      </w:r>
      <w:r w:rsidRPr="00F12107">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4</w:t>
      </w:r>
      <w:r w:rsidRPr="00F12107">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Podíl jednotlivých složek aktiv na celkových aktivech domácností</w:t>
      </w:r>
    </w:p>
    <w:p w:rsidR="008B205B" w:rsidRPr="008B205B" w:rsidP="00847BA5">
      <w:pPr>
        <w:spacing w:before="160"/>
        <w:rPr>
          <w:rFonts w:ascii="Times New Roman" w:hAnsi="Times New Roman" w:cs="Times New Roman"/>
          <w:sz w:val="24"/>
          <w:szCs w:val="24"/>
        </w:rPr>
      </w:pPr>
      <w:r w:rsidRPr="008B205B">
        <w:rPr>
          <w:rFonts w:ascii="Times New Roman" w:hAnsi="Times New Roman" w:cs="Times New Roman"/>
          <w:noProof/>
          <w:sz w:val="24"/>
          <w:szCs w:val="24"/>
          <w:lang w:eastAsia="cs-CZ"/>
        </w:rPr>
        <w:drawing>
          <wp:inline distT="0" distB="0" distL="0" distR="0">
            <wp:extent cx="5713095" cy="3121025"/>
            <wp:effectExtent l="0" t="0" r="1905" b="317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205B" w:rsidRPr="00D834D3" w:rsidP="00847BA5">
      <w:pPr>
        <w:pStyle w:val="Caption"/>
        <w:spacing w:before="160" w:after="160"/>
        <w:jc w:val="left"/>
        <w:rPr>
          <w:rFonts w:ascii="Times New Roman" w:hAnsi="Times New Roman" w:cs="Times New Roman"/>
          <w:color w:val="auto"/>
          <w:sz w:val="22"/>
          <w:szCs w:val="24"/>
        </w:rPr>
      </w:pPr>
      <w:r w:rsidRPr="00847BA5">
        <w:rPr>
          <w:rFonts w:ascii="Times New Roman" w:hAnsi="Times New Roman" w:cs="Times New Roman"/>
          <w:color w:val="auto"/>
          <w:sz w:val="22"/>
          <w:szCs w:val="24"/>
        </w:rPr>
        <w:t xml:space="preserve">Zdroj: </w:t>
      </w:r>
      <w:r w:rsidRPr="00847BA5">
        <w:rPr>
          <w:rFonts w:ascii="Times New Roman" w:hAnsi="Times New Roman" w:cs="Times New Roman"/>
          <w:color w:val="auto"/>
          <w:sz w:val="22"/>
          <w:szCs w:val="24"/>
        </w:rPr>
        <w:t>Eurostat</w:t>
      </w:r>
      <w:r w:rsidR="00454A7C">
        <w:rPr>
          <w:rFonts w:ascii="Times New Roman" w:hAnsi="Times New Roman" w:cs="Times New Roman"/>
          <w:color w:val="auto"/>
          <w:sz w:val="22"/>
          <w:szCs w:val="24"/>
        </w:rPr>
        <w:t xml:space="preserve"> (zpracování MF)</w:t>
      </w:r>
    </w:p>
    <w:p w:rsidR="008B205B" w:rsidP="00454A7C">
      <w:pPr>
        <w:pStyle w:val="Caption"/>
        <w:keepNext/>
        <w:spacing w:before="160" w:after="160"/>
        <w:jc w:val="left"/>
        <w:rPr>
          <w:rFonts w:ascii="Times New Roman" w:hAnsi="Times New Roman" w:cs="Times New Roman"/>
          <w:color w:val="auto"/>
          <w:sz w:val="24"/>
          <w:szCs w:val="24"/>
        </w:rPr>
      </w:pPr>
      <w:r w:rsidRPr="00454A7C">
        <w:rPr>
          <w:rFonts w:ascii="Times New Roman" w:hAnsi="Times New Roman" w:cs="Times New Roman"/>
          <w:color w:val="auto"/>
          <w:sz w:val="24"/>
          <w:szCs w:val="24"/>
          <w:u w:val="single"/>
        </w:rPr>
        <w:t xml:space="preserve">Tabulka </w:t>
      </w:r>
      <w:r w:rsidRPr="00454A7C">
        <w:rPr>
          <w:rFonts w:ascii="Times New Roman" w:hAnsi="Times New Roman" w:cs="Times New Roman"/>
          <w:color w:val="auto"/>
          <w:sz w:val="24"/>
          <w:szCs w:val="24"/>
          <w:u w:val="single"/>
        </w:rPr>
        <w:fldChar w:fldCharType="begin"/>
      </w:r>
      <w:r w:rsidRPr="00454A7C">
        <w:rPr>
          <w:rFonts w:ascii="Times New Roman" w:hAnsi="Times New Roman" w:cs="Times New Roman"/>
          <w:color w:val="auto"/>
          <w:sz w:val="24"/>
          <w:szCs w:val="24"/>
          <w:u w:val="single"/>
        </w:rPr>
        <w:instrText xml:space="preserve"> SEQ Tabulka \* ARABIC </w:instrText>
      </w:r>
      <w:r w:rsidRPr="00454A7C">
        <w:rPr>
          <w:rFonts w:ascii="Times New Roman" w:hAnsi="Times New Roman" w:cs="Times New Roman"/>
          <w:color w:val="auto"/>
          <w:sz w:val="24"/>
          <w:szCs w:val="24"/>
          <w:u w:val="single"/>
        </w:rPr>
        <w:fldChar w:fldCharType="separate"/>
      </w:r>
      <w:r w:rsidR="00197EAD">
        <w:rPr>
          <w:rFonts w:ascii="Times New Roman" w:hAnsi="Times New Roman" w:cs="Times New Roman"/>
          <w:noProof/>
          <w:color w:val="auto"/>
          <w:sz w:val="24"/>
          <w:szCs w:val="24"/>
          <w:u w:val="single"/>
        </w:rPr>
        <w:t>7</w:t>
      </w:r>
      <w:r w:rsidRPr="00454A7C">
        <w:rPr>
          <w:rFonts w:ascii="Times New Roman" w:hAnsi="Times New Roman" w:cs="Times New Roman"/>
          <w:color w:val="auto"/>
          <w:sz w:val="24"/>
          <w:szCs w:val="24"/>
          <w:u w:val="single"/>
        </w:rPr>
        <w:fldChar w:fldCharType="end"/>
      </w:r>
      <w:r w:rsidRPr="008B205B">
        <w:rPr>
          <w:rFonts w:ascii="Times New Roman" w:hAnsi="Times New Roman" w:cs="Times New Roman"/>
          <w:color w:val="auto"/>
          <w:sz w:val="24"/>
          <w:szCs w:val="24"/>
        </w:rPr>
        <w:t xml:space="preserve"> - Aktiva českých domácností a podíl jejich jednotlivých složek na celkových aktivech domácností</w:t>
      </w:r>
    </w:p>
    <w:tbl>
      <w:tblPr>
        <w:tblW w:w="9007" w:type="dxa"/>
        <w:tblCellMar>
          <w:left w:w="70" w:type="dxa"/>
          <w:right w:w="70" w:type="dxa"/>
        </w:tblCellMar>
        <w:tblLook w:val="04A0"/>
      </w:tblPr>
      <w:tblGrid>
        <w:gridCol w:w="4018"/>
        <w:gridCol w:w="1663"/>
        <w:gridCol w:w="1663"/>
        <w:gridCol w:w="1663"/>
      </w:tblGrid>
      <w:tr w:rsidTr="00197EAD">
        <w:tblPrEx>
          <w:tblW w:w="9007" w:type="dxa"/>
          <w:tblCellMar>
            <w:left w:w="70" w:type="dxa"/>
            <w:right w:w="70" w:type="dxa"/>
          </w:tblCellMar>
          <w:tblLook w:val="04A0"/>
        </w:tblPrEx>
        <w:trPr>
          <w:trHeight w:val="284"/>
        </w:trPr>
        <w:tc>
          <w:tcPr>
            <w:tcW w:w="4018" w:type="dxa"/>
            <w:tcBorders>
              <w:top w:val="nil"/>
              <w:left w:val="nil"/>
              <w:bottom w:val="nil"/>
              <w:right w:val="nil"/>
            </w:tcBorders>
            <w:shd w:val="clear" w:color="000000" w:fill="002060"/>
            <w:noWrap/>
            <w:vAlign w:val="bottom"/>
            <w:hideMark/>
          </w:tcPr>
          <w:p w:rsidR="00236379" w:rsidRPr="00463492" w:rsidP="00197EAD">
            <w:pPr>
              <w:spacing w:after="0" w:line="240" w:lineRule="auto"/>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v mil. Kč</w:t>
            </w:r>
          </w:p>
        </w:tc>
        <w:tc>
          <w:tcPr>
            <w:tcW w:w="1663" w:type="dxa"/>
            <w:tcBorders>
              <w:top w:val="nil"/>
              <w:left w:val="nil"/>
              <w:bottom w:val="nil"/>
              <w:right w:val="nil"/>
            </w:tcBorders>
            <w:shd w:val="clear" w:color="000000" w:fill="002060"/>
            <w:noWrap/>
            <w:vAlign w:val="bottom"/>
            <w:hideMark/>
          </w:tcPr>
          <w:p w:rsidR="00236379" w:rsidRPr="00463492" w:rsidP="00197EAD">
            <w:pPr>
              <w:spacing w:after="0" w:line="240" w:lineRule="auto"/>
              <w:jc w:val="right"/>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2018</w:t>
            </w:r>
          </w:p>
        </w:tc>
        <w:tc>
          <w:tcPr>
            <w:tcW w:w="1663" w:type="dxa"/>
            <w:tcBorders>
              <w:top w:val="nil"/>
              <w:left w:val="nil"/>
              <w:bottom w:val="nil"/>
              <w:right w:val="nil"/>
            </w:tcBorders>
            <w:shd w:val="clear" w:color="000000" w:fill="002060"/>
            <w:noWrap/>
            <w:vAlign w:val="bottom"/>
            <w:hideMark/>
          </w:tcPr>
          <w:p w:rsidR="00236379" w:rsidRPr="00463492" w:rsidP="00197EAD">
            <w:pPr>
              <w:spacing w:after="0" w:line="240" w:lineRule="auto"/>
              <w:jc w:val="right"/>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2019</w:t>
            </w:r>
          </w:p>
        </w:tc>
        <w:tc>
          <w:tcPr>
            <w:tcW w:w="1663" w:type="dxa"/>
            <w:tcBorders>
              <w:top w:val="nil"/>
              <w:left w:val="nil"/>
              <w:bottom w:val="nil"/>
              <w:right w:val="nil"/>
            </w:tcBorders>
            <w:shd w:val="clear" w:color="000000" w:fill="002060"/>
            <w:noWrap/>
            <w:vAlign w:val="bottom"/>
            <w:hideMark/>
          </w:tcPr>
          <w:p w:rsidR="00236379" w:rsidRPr="00463492" w:rsidP="00197EAD">
            <w:pPr>
              <w:spacing w:after="0" w:line="240" w:lineRule="auto"/>
              <w:jc w:val="right"/>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06/2020</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Aktiva</w:t>
            </w:r>
          </w:p>
        </w:tc>
        <w:tc>
          <w:tcPr>
            <w:tcW w:w="1663" w:type="dxa"/>
            <w:tcBorders>
              <w:top w:val="single" w:sz="4" w:space="0" w:color="002060"/>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6,939,884</w:t>
            </w:r>
          </w:p>
        </w:tc>
        <w:tc>
          <w:tcPr>
            <w:tcW w:w="1663" w:type="dxa"/>
            <w:tcBorders>
              <w:top w:val="single" w:sz="4" w:space="0" w:color="002060"/>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7,537,171</w:t>
            </w:r>
          </w:p>
        </w:tc>
        <w:tc>
          <w:tcPr>
            <w:tcW w:w="1663" w:type="dxa"/>
            <w:tcBorders>
              <w:top w:val="single" w:sz="4" w:space="0" w:color="002060"/>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7,910,340</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Hotovost a depozita</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3,166,545</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3,348,072</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3,559,092</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Dluhové cenné papíry</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128,628</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145,257</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146,313</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Podíly na vlastním kapitálu</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2,260,651</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2,506,095</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2,630,606</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Kótované akcie</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69,713</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78,941</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257,657</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Podíly ve fondech</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451,582</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520,382</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520,443</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Penzijní spoření</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446,310</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483,456</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502,631</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Pojištění</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306,464</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311,321</w:t>
            </w:r>
          </w:p>
        </w:tc>
        <w:tc>
          <w:tcPr>
            <w:tcW w:w="1663" w:type="dxa"/>
            <w:tcBorders>
              <w:top w:val="nil"/>
              <w:left w:val="nil"/>
              <w:bottom w:val="single" w:sz="4" w:space="0" w:color="002060"/>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309,050</w:t>
            </w:r>
          </w:p>
        </w:tc>
      </w:tr>
      <w:tr w:rsidTr="00197EAD">
        <w:tblPrEx>
          <w:tblW w:w="9007" w:type="dxa"/>
          <w:tblCellMar>
            <w:left w:w="70" w:type="dxa"/>
            <w:right w:w="70" w:type="dxa"/>
          </w:tblCellMar>
          <w:tblLook w:val="04A0"/>
        </w:tblPrEx>
        <w:trPr>
          <w:trHeight w:val="284"/>
        </w:trPr>
        <w:tc>
          <w:tcPr>
            <w:tcW w:w="4018" w:type="dxa"/>
            <w:tcBorders>
              <w:top w:val="nil"/>
              <w:left w:val="nil"/>
              <w:bottom w:val="nil"/>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Ostatní aktiva</w:t>
            </w:r>
          </w:p>
        </w:tc>
        <w:tc>
          <w:tcPr>
            <w:tcW w:w="1663" w:type="dxa"/>
            <w:tcBorders>
              <w:top w:val="nil"/>
              <w:left w:val="nil"/>
              <w:bottom w:val="nil"/>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179,704</w:t>
            </w:r>
          </w:p>
        </w:tc>
        <w:tc>
          <w:tcPr>
            <w:tcW w:w="1663" w:type="dxa"/>
            <w:tcBorders>
              <w:top w:val="nil"/>
              <w:left w:val="nil"/>
              <w:bottom w:val="nil"/>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222,588</w:t>
            </w:r>
          </w:p>
        </w:tc>
        <w:tc>
          <w:tcPr>
            <w:tcW w:w="1663" w:type="dxa"/>
            <w:tcBorders>
              <w:top w:val="nil"/>
              <w:left w:val="nil"/>
              <w:bottom w:val="nil"/>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242,205</w:t>
            </w:r>
          </w:p>
        </w:tc>
      </w:tr>
      <w:tr w:rsidTr="00197EAD">
        <w:tblPrEx>
          <w:tblW w:w="9007" w:type="dxa"/>
          <w:tblCellMar>
            <w:left w:w="70" w:type="dxa"/>
            <w:right w:w="70" w:type="dxa"/>
          </w:tblCellMar>
          <w:tblLook w:val="04A0"/>
        </w:tblPrEx>
        <w:trPr>
          <w:trHeight w:val="284"/>
        </w:trPr>
        <w:tc>
          <w:tcPr>
            <w:tcW w:w="4018" w:type="dxa"/>
            <w:tcBorders>
              <w:top w:val="nil"/>
              <w:left w:val="nil"/>
              <w:bottom w:val="nil"/>
              <w:right w:val="nil"/>
            </w:tcBorders>
            <w:shd w:val="clear" w:color="000000" w:fill="002060"/>
            <w:noWrap/>
            <w:vAlign w:val="bottom"/>
            <w:hideMark/>
          </w:tcPr>
          <w:p w:rsidR="00236379" w:rsidRPr="00463492" w:rsidP="00197EAD">
            <w:pPr>
              <w:spacing w:after="0" w:line="240" w:lineRule="auto"/>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Podíl</w:t>
            </w:r>
          </w:p>
        </w:tc>
        <w:tc>
          <w:tcPr>
            <w:tcW w:w="1663" w:type="dxa"/>
            <w:tcBorders>
              <w:top w:val="nil"/>
              <w:left w:val="nil"/>
              <w:bottom w:val="nil"/>
              <w:right w:val="nil"/>
            </w:tcBorders>
            <w:shd w:val="clear" w:color="000000" w:fill="002060"/>
            <w:noWrap/>
            <w:vAlign w:val="bottom"/>
            <w:hideMark/>
          </w:tcPr>
          <w:p w:rsidR="00236379" w:rsidRPr="00463492" w:rsidP="00197EAD">
            <w:pPr>
              <w:spacing w:after="0" w:line="240" w:lineRule="auto"/>
              <w:jc w:val="right"/>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2018</w:t>
            </w:r>
          </w:p>
        </w:tc>
        <w:tc>
          <w:tcPr>
            <w:tcW w:w="1663" w:type="dxa"/>
            <w:tcBorders>
              <w:top w:val="nil"/>
              <w:left w:val="nil"/>
              <w:bottom w:val="nil"/>
              <w:right w:val="nil"/>
            </w:tcBorders>
            <w:shd w:val="clear" w:color="000000" w:fill="002060"/>
            <w:noWrap/>
            <w:vAlign w:val="bottom"/>
            <w:hideMark/>
          </w:tcPr>
          <w:p w:rsidR="00236379" w:rsidRPr="00463492" w:rsidP="00197EAD">
            <w:pPr>
              <w:spacing w:after="0" w:line="240" w:lineRule="auto"/>
              <w:jc w:val="right"/>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2019</w:t>
            </w:r>
          </w:p>
        </w:tc>
        <w:tc>
          <w:tcPr>
            <w:tcW w:w="1663" w:type="dxa"/>
            <w:tcBorders>
              <w:top w:val="nil"/>
              <w:left w:val="nil"/>
              <w:bottom w:val="nil"/>
              <w:right w:val="nil"/>
            </w:tcBorders>
            <w:shd w:val="clear" w:color="000000" w:fill="002060"/>
            <w:noWrap/>
            <w:vAlign w:val="bottom"/>
            <w:hideMark/>
          </w:tcPr>
          <w:p w:rsidR="00236379" w:rsidRPr="00463492" w:rsidP="00197EAD">
            <w:pPr>
              <w:spacing w:after="0" w:line="240" w:lineRule="auto"/>
              <w:jc w:val="right"/>
              <w:rPr>
                <w:rFonts w:ascii="Times New Roman" w:eastAsia="Times New Roman" w:hAnsi="Times New Roman" w:cs="Times New Roman"/>
                <w:color w:val="FFFFFF"/>
                <w:sz w:val="24"/>
                <w:szCs w:val="24"/>
                <w:lang w:eastAsia="cs-CZ"/>
              </w:rPr>
            </w:pPr>
            <w:r w:rsidRPr="00463492">
              <w:rPr>
                <w:rFonts w:ascii="Times New Roman" w:eastAsia="Times New Roman" w:hAnsi="Times New Roman" w:cs="Times New Roman"/>
                <w:color w:val="FFFFFF"/>
                <w:sz w:val="24"/>
                <w:szCs w:val="24"/>
                <w:lang w:eastAsia="cs-CZ"/>
              </w:rPr>
              <w:t>06/2020</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Hotovost a depozita</w:t>
            </w:r>
          </w:p>
        </w:tc>
        <w:tc>
          <w:tcPr>
            <w:tcW w:w="1663" w:type="dxa"/>
            <w:tcBorders>
              <w:top w:val="single" w:sz="4" w:space="0" w:color="auto"/>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45.6 %</w:t>
            </w:r>
          </w:p>
        </w:tc>
        <w:tc>
          <w:tcPr>
            <w:tcW w:w="1663" w:type="dxa"/>
            <w:tcBorders>
              <w:top w:val="single" w:sz="4" w:space="0" w:color="auto"/>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44.4 %</w:t>
            </w:r>
          </w:p>
        </w:tc>
        <w:tc>
          <w:tcPr>
            <w:tcW w:w="1663" w:type="dxa"/>
            <w:tcBorders>
              <w:top w:val="single" w:sz="4" w:space="0" w:color="auto"/>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45.0 %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Dluhové cenné papíry</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1.9 %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1.9 %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1.8 %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Podíly na vlastním kapitálu</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32.6 %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33.2 %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33.3 %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Kótované akcie</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1.0 %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1.0 %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3.3 %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Podíly ve fondech</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6.5 %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6.9 %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6.6 %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Penzijní spoření</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6.4 %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6.4 %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6.4 %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Pojištění</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4.4 %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4.1 %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3.9 %</w:t>
            </w:r>
          </w:p>
        </w:tc>
      </w:tr>
      <w:tr w:rsidTr="00197EAD">
        <w:tblPrEx>
          <w:tblW w:w="9007" w:type="dxa"/>
          <w:tblCellMar>
            <w:left w:w="70" w:type="dxa"/>
            <w:right w:w="70" w:type="dxa"/>
          </w:tblCellMar>
          <w:tblLook w:val="04A0"/>
        </w:tblPrEx>
        <w:trPr>
          <w:trHeight w:val="284"/>
        </w:trPr>
        <w:tc>
          <w:tcPr>
            <w:tcW w:w="4018"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Ostatní aktiva</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2.6 %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3.0 %</w:t>
            </w:r>
          </w:p>
        </w:tc>
        <w:tc>
          <w:tcPr>
            <w:tcW w:w="1663" w:type="dxa"/>
            <w:tcBorders>
              <w:top w:val="nil"/>
              <w:left w:val="nil"/>
              <w:bottom w:val="single" w:sz="4" w:space="0" w:color="auto"/>
              <w:right w:val="nil"/>
            </w:tcBorders>
            <w:shd w:val="clear" w:color="auto" w:fill="auto"/>
            <w:noWrap/>
            <w:vAlign w:val="bottom"/>
            <w:hideMark/>
          </w:tcPr>
          <w:p w:rsidR="00236379" w:rsidRPr="00463492" w:rsidP="00197EAD">
            <w:pPr>
              <w:spacing w:after="0" w:line="240" w:lineRule="auto"/>
              <w:jc w:val="right"/>
              <w:rPr>
                <w:rFonts w:ascii="Times New Roman" w:eastAsia="Times New Roman" w:hAnsi="Times New Roman" w:cs="Times New Roman"/>
                <w:color w:val="000000"/>
                <w:sz w:val="24"/>
                <w:szCs w:val="24"/>
                <w:lang w:eastAsia="cs-CZ"/>
              </w:rPr>
            </w:pPr>
            <w:r w:rsidRPr="00463492">
              <w:rPr>
                <w:rFonts w:ascii="Times New Roman" w:eastAsia="Times New Roman" w:hAnsi="Times New Roman" w:cs="Times New Roman"/>
                <w:color w:val="000000"/>
                <w:sz w:val="24"/>
                <w:szCs w:val="24"/>
                <w:lang w:eastAsia="cs-CZ"/>
              </w:rPr>
              <w:t>3.1 %</w:t>
            </w:r>
          </w:p>
        </w:tc>
      </w:tr>
    </w:tbl>
    <w:p w:rsidR="008B205B" w:rsidP="00867155">
      <w:pPr>
        <w:pStyle w:val="Caption"/>
        <w:spacing w:after="120"/>
        <w:jc w:val="left"/>
        <w:rPr>
          <w:rFonts w:ascii="Times New Roman" w:hAnsi="Times New Roman" w:cs="Times New Roman"/>
          <w:color w:val="auto"/>
          <w:sz w:val="22"/>
          <w:szCs w:val="24"/>
        </w:rPr>
      </w:pPr>
      <w:r w:rsidRPr="00847BA5">
        <w:rPr>
          <w:rFonts w:ascii="Times New Roman" w:hAnsi="Times New Roman" w:cs="Times New Roman"/>
          <w:color w:val="auto"/>
          <w:sz w:val="22"/>
          <w:szCs w:val="24"/>
        </w:rPr>
        <w:t xml:space="preserve">Zdroj: MF, </w:t>
      </w:r>
      <w:r w:rsidRPr="00847BA5">
        <w:rPr>
          <w:rFonts w:ascii="Times New Roman" w:hAnsi="Times New Roman" w:cs="Times New Roman"/>
          <w:color w:val="auto"/>
          <w:sz w:val="22"/>
          <w:szCs w:val="24"/>
        </w:rPr>
        <w:t>Eurostat</w:t>
      </w:r>
    </w:p>
    <w:p w:rsidR="002128E1" w:rsidRPr="00BB4EA3" w:rsidP="00867155">
      <w:pPr>
        <w:spacing w:after="120" w:line="240" w:lineRule="auto"/>
        <w:jc w:val="center"/>
        <w:rPr>
          <w:rFonts w:ascii="Times New Roman" w:hAnsi="Times New Roman" w:cs="Times New Roman"/>
          <w:b/>
          <w:sz w:val="24"/>
          <w:szCs w:val="24"/>
          <w:u w:val="single"/>
        </w:rPr>
      </w:pPr>
      <w:r w:rsidRPr="00BB4EA3">
        <w:rPr>
          <w:rFonts w:ascii="Times New Roman" w:hAnsi="Times New Roman" w:cs="Times New Roman"/>
          <w:b/>
          <w:sz w:val="24"/>
          <w:szCs w:val="24"/>
          <w:u w:val="single"/>
        </w:rPr>
        <w:t>I</w:t>
      </w:r>
      <w:r>
        <w:rPr>
          <w:rFonts w:ascii="Times New Roman" w:hAnsi="Times New Roman" w:cs="Times New Roman"/>
          <w:b/>
          <w:sz w:val="24"/>
          <w:szCs w:val="24"/>
          <w:u w:val="single"/>
        </w:rPr>
        <w:t>V</w:t>
      </w:r>
      <w:r w:rsidRPr="00BB4EA3">
        <w:rPr>
          <w:rFonts w:ascii="Times New Roman" w:hAnsi="Times New Roman" w:cs="Times New Roman"/>
          <w:b/>
          <w:sz w:val="24"/>
          <w:szCs w:val="24"/>
          <w:u w:val="single"/>
        </w:rPr>
        <w:t xml:space="preserve">. </w:t>
      </w:r>
      <w:r>
        <w:rPr>
          <w:rFonts w:ascii="Times New Roman" w:hAnsi="Times New Roman" w:cs="Times New Roman"/>
          <w:b/>
          <w:sz w:val="24"/>
          <w:szCs w:val="24"/>
          <w:u w:val="single"/>
        </w:rPr>
        <w:t>Závěr</w:t>
      </w:r>
    </w:p>
    <w:p w:rsidR="00542734" w:rsidP="00867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Opatření navržená v Koncepci se daří do značné míry naplňovat. Zásadní pro realizaci těchto opatření je </w:t>
      </w:r>
      <w:r w:rsidR="00F44E12">
        <w:rPr>
          <w:rFonts w:ascii="Times New Roman" w:hAnsi="Times New Roman" w:cs="Times New Roman"/>
          <w:sz w:val="24"/>
          <w:szCs w:val="24"/>
        </w:rPr>
        <w:t xml:space="preserve">však </w:t>
      </w:r>
      <w:r>
        <w:rPr>
          <w:rFonts w:ascii="Times New Roman" w:hAnsi="Times New Roman" w:cs="Times New Roman"/>
          <w:sz w:val="24"/>
          <w:szCs w:val="24"/>
        </w:rPr>
        <w:t xml:space="preserve">publikace </w:t>
      </w:r>
      <w:r w:rsidR="00F44E12">
        <w:rPr>
          <w:rFonts w:ascii="Times New Roman" w:hAnsi="Times New Roman" w:cs="Times New Roman"/>
          <w:sz w:val="24"/>
          <w:szCs w:val="24"/>
        </w:rPr>
        <w:t>k</w:t>
      </w:r>
      <w:r>
        <w:rPr>
          <w:rFonts w:ascii="Times New Roman" w:hAnsi="Times New Roman" w:cs="Times New Roman"/>
          <w:sz w:val="24"/>
          <w:szCs w:val="24"/>
        </w:rPr>
        <w:t xml:space="preserve">oncepční novely ve Sbírce zákonů. Vláda schválila </w:t>
      </w:r>
      <w:r w:rsidR="00F44E12">
        <w:rPr>
          <w:rFonts w:ascii="Times New Roman" w:hAnsi="Times New Roman" w:cs="Times New Roman"/>
          <w:sz w:val="24"/>
          <w:szCs w:val="24"/>
        </w:rPr>
        <w:t>k</w:t>
      </w:r>
      <w:r>
        <w:rPr>
          <w:rFonts w:ascii="Times New Roman" w:hAnsi="Times New Roman" w:cs="Times New Roman"/>
          <w:sz w:val="24"/>
          <w:szCs w:val="24"/>
        </w:rPr>
        <w:t xml:space="preserve">oncepční novelu </w:t>
      </w:r>
      <w:r w:rsidRPr="002128E1">
        <w:rPr>
          <w:rFonts w:ascii="Times New Roman" w:hAnsi="Times New Roman" w:cs="Times New Roman"/>
          <w:sz w:val="24"/>
          <w:szCs w:val="24"/>
        </w:rPr>
        <w:t xml:space="preserve">24. </w:t>
      </w:r>
      <w:r w:rsidR="00F44E12">
        <w:rPr>
          <w:rFonts w:ascii="Times New Roman" w:hAnsi="Times New Roman" w:cs="Times New Roman"/>
          <w:sz w:val="24"/>
          <w:szCs w:val="24"/>
        </w:rPr>
        <w:t xml:space="preserve">8. </w:t>
      </w:r>
      <w:r w:rsidRPr="002128E1">
        <w:rPr>
          <w:rFonts w:ascii="Times New Roman" w:hAnsi="Times New Roman" w:cs="Times New Roman"/>
          <w:sz w:val="24"/>
          <w:szCs w:val="24"/>
        </w:rPr>
        <w:t>2020</w:t>
      </w:r>
      <w:r>
        <w:rPr>
          <w:rFonts w:ascii="Times New Roman" w:hAnsi="Times New Roman" w:cs="Times New Roman"/>
          <w:sz w:val="24"/>
          <w:szCs w:val="24"/>
        </w:rPr>
        <w:t>, nicméně doposud neproběhlo její projednání v prvním čtení</w:t>
      </w:r>
      <w:r w:rsidR="00F44E12">
        <w:rPr>
          <w:rFonts w:ascii="Times New Roman" w:hAnsi="Times New Roman" w:cs="Times New Roman"/>
          <w:sz w:val="24"/>
          <w:szCs w:val="24"/>
        </w:rPr>
        <w:t xml:space="preserve">. </w:t>
      </w:r>
      <w:r w:rsidR="00660D4B">
        <w:rPr>
          <w:rFonts w:ascii="Times New Roman" w:hAnsi="Times New Roman" w:cs="Times New Roman"/>
          <w:sz w:val="24"/>
          <w:szCs w:val="24"/>
        </w:rPr>
        <w:t xml:space="preserve">Pokud nebude </w:t>
      </w:r>
      <w:r w:rsidR="00F44E12">
        <w:rPr>
          <w:rFonts w:ascii="Times New Roman" w:hAnsi="Times New Roman" w:cs="Times New Roman"/>
          <w:sz w:val="24"/>
          <w:szCs w:val="24"/>
        </w:rPr>
        <w:t>k</w:t>
      </w:r>
      <w:r w:rsidR="00660D4B">
        <w:rPr>
          <w:rFonts w:ascii="Times New Roman" w:hAnsi="Times New Roman" w:cs="Times New Roman"/>
          <w:sz w:val="24"/>
          <w:szCs w:val="24"/>
        </w:rPr>
        <w:t>oncepční novela schválena Poslaneckou sněmovnou ve třetím čtení nejpozději v září 2021, bude nutno její legislativní proces zopakovat po volbách do Poslanecké sněmovny. To může znamenat značné zdržení v plánované účinnosti a v předpokládaném pozitivním dopadu této novely. Současně při přípravě Koncepce rozvoje kapitálového trhu v ČR 2024-2028 nebude možno vzít v potaz zkušenosti s aplikací této novely v praxi.</w:t>
      </w:r>
    </w:p>
    <w:p w:rsidR="000B3E79" w:rsidP="007471AF">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w:t>
      </w:r>
    </w:p>
    <w:p w:rsidR="00542734"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w:t>
      </w:r>
      <w:r w:rsidRPr="007471AF">
        <w:rPr>
          <w:rFonts w:ascii="Times New Roman" w:hAnsi="Times New Roman" w:cs="Times New Roman"/>
          <w:sz w:val="24"/>
          <w:szCs w:val="24"/>
        </w:rPr>
        <w:t xml:space="preserve"> </w:t>
      </w:r>
      <w:r w:rsidRPr="007471AF">
        <w:rPr>
          <w:rFonts w:ascii="Times New Roman" w:hAnsi="Times New Roman" w:cs="Times New Roman"/>
          <w:sz w:val="24"/>
          <w:szCs w:val="24"/>
        </w:rPr>
        <w:t>https://www.mfcr.cz/cs/aktualne/tiskove-zpravy/2019/ministerstvo-financi-predstavilo-koncepc-34656</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https://www.mfcr.cz/en/news/press-releases/2019/the-ministry-of-finance-introduced-the-n-34785</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https://www.mfcr.cz/en/themes/capital-market/capital-market-in-the-czech-republic/the-ministry-of-finance-publishes-a-worl-33912</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https://www.mfcr.cz/en/themes/capital-market/capital-market-in-the-czech-republic/the-ministry-of-finance-publishes-a-worl-33724</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https://www.mfcr.cz/en/themes/capital-market/capital-market-in-the-czech-republic/the-bonds-act-is-published-in-the-collec-33969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https://www.mfcr.cz/en/themes/capital-market/capital-market-in-the-czech-republic/the-ministry-of-finance-publishes-transl-33971</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https://www.mfcr.cz/cs/o-ministerstvu/odborne-studie-a-vyzkumy/2019/kodex-spravy-a-rizeni-spolecnosti-cr-201-34812</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https://www.mfcr.cz/cs/soukromy-sektor/kapitalovy-trh/podnikani-na-kapitalovem-trhu/2019/verejna-konzultace--scorecard-korporatni-34916</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9)</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https://www.mfcr.cz/en/themes/capital-market/capital-market-in-the-czech-republic/public-consultation--corporate-bond-scor-34918</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10)</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https://www.mfcr.cz/cs/soukromy-sektor/kapitalovy-trh/podnikani-na-kapitalovem-trhu/2019/verejna-konzultace-planovana-legislativn-35843</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11)</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https://www.mfcr.cz/cs/soukromy-sektor/kapitalovy-trh/podnikani-na-kapitalovem-trhu/2019/mf-zverejnuje-zpravu-o-gramotnosti-na-ka-36655</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https://www.mfcr.cz/cs/soukromy-sektor/kapitalovy-trh/podnikani-na-kapitalovem-trhu/2020/publikace-weboveho-rozcestniku-o-kapital-37136</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https://www.mfcr.cz/en/themes/capital-market/capital-market-in-the-czech-republic/publication-of-the-all-about-the-capital-37137</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14)</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https://www.mfcr.cz/cs/soukromy-sektor/kapitalovy-trh/podnikani-na-kapitalovem-trhu/2020/verejna-konzultace--scorecard-korporatni-37189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15)</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https://www.mfcr.cz/cs/soukromy-sektor/kapitalovy-trh/investicni-fondy/2020/novy-preklad-zakona-o-investicnich-spole-38399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https://www.mfcr.cz/en/themes/capital-market/capital-market-in-the-czech-republic/new-english-translation-of-the-act-on-ma-38401</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17)</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https://www.mfcr.cz/cs/soukromy-sektor/kapitalovy-trh/podnikani-na-kapitalovem-trhu/2020/aktualizovane-preklady-zakona-o-podnikan-38950</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18)</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https://www.mfcr.cz/en/themes/capital-market/capital-market-in-the-czech-republic/updated-english-translations-of-the-capi-38951</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19)</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https://www.mfcr.cz/cs/soukromy-sektor/kapitalovy-trh/podnikani-na-kapitalovem-trhu/2020/zahajeni-meziresortniho-pripominkoveho-r-38154</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20)</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https://www.mfcr.cz/cs/soukromy-sektor/kapitalovy-trh/podnikani-na-kapitalovem-trhu/2020/navrh-zakona-kterym-se-meni-nektere-zako-38682</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21)</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https://www.mfcr.cz/cs/o-ministerstvu/vzdelavani/konference-a-seminare/2020/mf-usporadalo-workshop-k-rozvoji-kapital-39309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22)</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https://www.mfcr.cz/cs/soukromy-sektor/kapitalovy-trh/podnikani-na-kapitalovem-trhu/2020/novela-zakonu-v-souvislosti-s-rozvojem-k-39356</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23)</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https://www.mfcr.cz/cs/soukromy-sektor/kapitalovy-trh/podnikani-na-kapitalovem-trhu/2019/evropske-pravni-predpisy-souvisejici-s-p-36929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24)</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https://www.mfcr.cz/cs/soukromy-sektor/kapitalovy-trh/podnikani-na-kapitalovem-trhu/2020/verejna-konzultace-k-moznostem-narodni-u-37285</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25)</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https://www.mfcr.cz/cs/soukromy-sektor/kapitalovy-trh/podnikani-na-kapitalovem-trhu/2020/zahajeni-meziresortniho-pripominkoveho-r-38949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26)</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https://www.mfcr.cz/cs/soukromy-sektor/kapitalovy-trh/podnikani-na-kapitalovem-trhu/2020/navrh-zakona-kterym-se-meni-nektere-zako-39647</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27)</w:t>
      </w:r>
      <w:r>
        <w:rPr>
          <w:rFonts w:ascii="Times New Roman" w:hAnsi="Times New Roman" w:cs="Times New Roman"/>
          <w:sz w:val="24"/>
          <w:szCs w:val="24"/>
        </w:rPr>
        <w:t xml:space="preserve"> </w:t>
      </w:r>
      <w:r w:rsidRPr="000B3E79">
        <w:rPr>
          <w:rFonts w:ascii="Times New Roman" w:hAnsi="Times New Roman" w:cs="Times New Roman"/>
          <w:sz w:val="24"/>
          <w:szCs w:val="24"/>
        </w:rPr>
        <w:t>https://www.mfcr.cz/cs/soukromy-sektor/kapitalovy-trh/podnikani-na-kapitalovem-trhu/2020/evropska-komise-uverejnila-legislativni-39103</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28)</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https://apps.odok.cz/veklep-detail?p_p_id=material_WAR_odokkpl&amp;p_p_lifecycle=0&amp;p_p_state=normal&amp;p_p_mode=view&amp;p_p_col_id=column-1&amp;p_p_col_count=3&amp;_material_WAR_odokkpl_pid=KORNBTGJPSXK&amp;tab=detail</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29)</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https://www.mfcr.cz/cs/soukromy-sektor/kapitalovy-trh/podnikani-na-kapitalovem-trhu/2020/zakon-kterym-se-meni-nektere-zakony-v-ob-38099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30)</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https://financnigramotnost.mfcr.cz/assets/cs/media/PSFV_2020_Narodni-strategie-financniho-vzdelavani-2-0.pdf</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31)</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https://www.cnb.cz/cs/dohled-financni-trh/vykon-dohledu/povolovaci-a-schvalovaci-rizeni/povolovaci-a-schvalovaci-rizeni-obchodnici-s-cennymi-papiry-investicni-zprostredkovatele/zkousky-dle-zakona-c.-256-2004-sb.-o-podnikani-na-kapitalovem-trhu-ve-zneni-pozdejsich-predpisu/</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32)</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https://www.mfcr.cz/cs/soukromy-sektor/kapitalovy-trh/zakladni-informace#rozcestnik</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33)</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https://www.mfcr.cz/en/themes/capital-market/basic-information</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34)</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https://www.mfcr.cz/assets/en/media/2020-EN-Orientation-in-the-Czech-financial-statements-1-0.pdf</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35)</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https://www.cnb.cz/cs/casto-kladene-dotazy/Jak-se-vyvijela-dvoutydenni-repo-sazba-CNB/</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36)</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t>
      </w:r>
      <w:r w:rsidRPr="00BE4EA0" w:rsidR="00BE4EA0">
        <w:rPr>
          <w:rFonts w:ascii="Times New Roman" w:hAnsi="Times New Roman" w:cs="Times New Roman"/>
          <w:sz w:val="24"/>
          <w:szCs w:val="24"/>
        </w:rPr>
        <w:t>www</w:t>
      </w:r>
      <w:r w:rsidRPr="00BE4EA0" w:rsidR="00BE4EA0">
        <w:rPr>
          <w:rFonts w:ascii="Times New Roman" w:hAnsi="Times New Roman" w:cs="Times New Roman"/>
          <w:sz w:val="24"/>
          <w:szCs w:val="24"/>
        </w:rPr>
        <w:t>.</w:t>
      </w:r>
      <w:r w:rsidRPr="00BE4EA0" w:rsidR="00BE4EA0">
        <w:rPr>
          <w:rFonts w:ascii="Times New Roman" w:hAnsi="Times New Roman" w:cs="Times New Roman"/>
          <w:sz w:val="24"/>
          <w:szCs w:val="24"/>
        </w:rPr>
        <w:t>pse</w:t>
      </w:r>
      <w:r w:rsidRPr="00BE4EA0" w:rsidR="00BE4EA0">
        <w:rPr>
          <w:rFonts w:ascii="Times New Roman" w:hAnsi="Times New Roman" w:cs="Times New Roman"/>
          <w:sz w:val="24"/>
          <w:szCs w:val="24"/>
        </w:rPr>
        <w:t>.cz/novinky/burza-zahaji-obchodovani-zahranicnich-akcii</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37)</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https://eur-lex.europa.eu/legal-content/CS/TXT/?uri=celex%3A32017L0828</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38)</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https://eur-lex.europa.eu/legal-content/CS/TXT/?uri=CELEX%3A02019R0815-20200101</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39)</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https://apps.odok.cz/veklep-detail?pid=ALBSBV7JC2I3</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40)</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https://www.mfcr.cz/cs/soukromy-sektor/kapitalovy-trh/podnikani-na-kapitalovem-trhu/2019/mf-zverejnuje-zpravu-o-gramotnosti-na-ka-36655</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41)</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https://www.cbaa.cz/</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42)</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https://www.startupreport.cz/</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43)</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https://apps.odok.cz/veklep-detail?pid=ALBSBNGEVNNQ</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44)</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http://solution.capgemini.cz/capgemini-reporty/capgemini-world-wealth-report-2019/</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45)</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https://www.seznamzpravy.cz/clanek/v-cesku-zije-pres-30-tisic-dolarovych-milionaru-co-delaji-s-penezi-67003</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46)</w:t>
      </w:r>
      <w:r>
        <w:rPr>
          <w:rFonts w:ascii="Times New Roman" w:hAnsi="Times New Roman" w:cs="Times New Roman"/>
          <w:sz w:val="24"/>
          <w:szCs w:val="24"/>
        </w:rPr>
        <w:t xml:space="preserve"> </w:t>
      </w:r>
      <w:r w:rsidRPr="00BE4EA0" w:rsidR="00BE4EA0">
        <w:rPr>
          <w:rFonts w:ascii="Times New Roman" w:hAnsi="Times New Roman" w:cs="Times New Roman"/>
          <w:sz w:val="24"/>
          <w:szCs w:val="24"/>
        </w:rPr>
        <w:t>https://www.jt-wr.com/</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47)</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https://www.jtbanka.sk/o-banke/wealth-report/</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48)</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https://www.jt-wr.com/investice</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49)</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https://eur-lex.europa.eu/legal-content/CS/TXT/?uri=CELEX:32020R1503</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50)</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https://finsider.cz/investovani/fundlift-tak-trochu-pokulhavajici-investicni-crowdfunding/</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51)</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https://fintechcowboys.cz/rozhovor-o-crowdfundingove-platforme-fingood/</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52)</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https://fintechcowboys.cz/upvest-rozhovor-o-crowdfundingovych-investicich-do-nemovitosti/</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53)</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https://www.topdluhopisy.cz/</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54)</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https://dluhopisy.cz/</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55)</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https://www.proplat.to/</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56)</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https://crofungo.cz/o-nas/</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57)</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https://www.rondainvest.cz/o-nas</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58)</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https://ceskedluhopisy.cz/</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59)</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https://dluhopisomat.cz/</w:t>
      </w:r>
    </w:p>
    <w:p w:rsidR="000B3E79" w:rsidP="007471AF">
      <w:pPr>
        <w:spacing w:after="120" w:line="240" w:lineRule="auto"/>
        <w:rPr>
          <w:rFonts w:cs="Times New Roman"/>
          <w:sz w:val="24"/>
          <w:szCs w:val="24"/>
        </w:rPr>
      </w:pPr>
      <w:r w:rsidRPr="007471AF">
        <w:rPr>
          <w:rFonts w:ascii="Times New Roman" w:hAnsi="Times New Roman" w:cs="Times New Roman"/>
          <w:sz w:val="24"/>
          <w:szCs w:val="24"/>
          <w:vertAlign w:val="superscript"/>
        </w:rPr>
        <w:t>60)</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http://www.dluhopisovyportal.cz/</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61)</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https://dluhopisy.net/</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62)</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https://www.czechcrunch.cz/2018/08/pavel-matousek-ukoncuje-po-roce-provozu-svuj-projekt-na-pronajmy-bytu-rentiero/</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63)</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https://www.mfcr.cz/cs/soukromy-sektor/kapitalovy-trh/podnikani-na-kapitalovem-trhu/2019/verejna-konzultace-planovana-legislativn-35843</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64)</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https://www.czg.cz/investors</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65)</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https://www.pxstart.cz/</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66)</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t>
      </w:r>
      <w:r w:rsidRPr="00BF30CA" w:rsidR="00BF30CA">
        <w:rPr>
          <w:rFonts w:ascii="Times New Roman" w:hAnsi="Times New Roman" w:cs="Times New Roman"/>
          <w:sz w:val="24"/>
          <w:szCs w:val="24"/>
        </w:rPr>
        <w:t>www</w:t>
      </w:r>
      <w:r w:rsidRPr="00BF30CA" w:rsidR="00BF30CA">
        <w:rPr>
          <w:rFonts w:ascii="Times New Roman" w:hAnsi="Times New Roman" w:cs="Times New Roman"/>
          <w:sz w:val="24"/>
          <w:szCs w:val="24"/>
        </w:rPr>
        <w:t>.</w:t>
      </w:r>
      <w:r w:rsidRPr="00BF30CA" w:rsidR="00BF30CA">
        <w:rPr>
          <w:rFonts w:ascii="Times New Roman" w:hAnsi="Times New Roman" w:cs="Times New Roman"/>
          <w:sz w:val="24"/>
          <w:szCs w:val="24"/>
        </w:rPr>
        <w:t>pse</w:t>
      </w:r>
      <w:r w:rsidRPr="00BF30CA" w:rsidR="00BF30CA">
        <w:rPr>
          <w:rFonts w:ascii="Times New Roman" w:hAnsi="Times New Roman" w:cs="Times New Roman"/>
          <w:sz w:val="24"/>
          <w:szCs w:val="24"/>
        </w:rPr>
        <w:t>.cz/en/trading/markets/start-market</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67)</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w:t>
      </w:r>
      <w:r w:rsidRPr="00BF30CA" w:rsidR="00BF30CA">
        <w:rPr>
          <w:rFonts w:ascii="Times New Roman" w:hAnsi="Times New Roman" w:cs="Times New Roman"/>
          <w:sz w:val="24"/>
          <w:szCs w:val="24"/>
        </w:rPr>
        <w:t>www</w:t>
      </w:r>
      <w:r w:rsidRPr="00BF30CA" w:rsidR="00BF30CA">
        <w:rPr>
          <w:rFonts w:ascii="Times New Roman" w:hAnsi="Times New Roman" w:cs="Times New Roman"/>
          <w:sz w:val="24"/>
          <w:szCs w:val="24"/>
        </w:rPr>
        <w:t>.</w:t>
      </w:r>
      <w:r w:rsidRPr="00BF30CA" w:rsidR="00BF30CA">
        <w:rPr>
          <w:rFonts w:ascii="Times New Roman" w:hAnsi="Times New Roman" w:cs="Times New Roman"/>
          <w:sz w:val="24"/>
          <w:szCs w:val="24"/>
        </w:rPr>
        <w:t>pse</w:t>
      </w:r>
      <w:r w:rsidRPr="00BF30CA" w:rsidR="00BF30CA">
        <w:rPr>
          <w:rFonts w:ascii="Times New Roman" w:hAnsi="Times New Roman" w:cs="Times New Roman"/>
          <w:sz w:val="24"/>
          <w:szCs w:val="24"/>
        </w:rPr>
        <w:t>.cz/en/market-data/shares/start-market</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68)</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https://www.mfcr.cz/cs/aktualne/tiskove-zpravy/2020/vlada-schvalila-navrh-vecneho-zameru-nov-39636</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69)</w:t>
      </w:r>
      <w:r>
        <w:rPr>
          <w:rFonts w:ascii="Times New Roman" w:hAnsi="Times New Roman" w:cs="Times New Roman"/>
          <w:sz w:val="24"/>
          <w:szCs w:val="24"/>
        </w:rPr>
        <w:t xml:space="preserve"> </w:t>
      </w:r>
      <w:r w:rsidRPr="00514F0B" w:rsidR="00BF30CA">
        <w:rPr>
          <w:rFonts w:ascii="Times New Roman" w:hAnsi="Times New Roman" w:cs="Times New Roman"/>
          <w:sz w:val="24"/>
          <w:szCs w:val="24"/>
        </w:rPr>
        <w:t>https://www.cginstitut.cz/cs/czech-institute-of-directors-prave-vydal-kodex-spravy-a-rizeni-spolecnosti-cr-2018/</w:t>
      </w:r>
    </w:p>
    <w:p w:rsidR="001A2152" w:rsidP="007471AF">
      <w:pPr>
        <w:tabs>
          <w:tab w:val="left" w:pos="1340"/>
        </w:tabs>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70)</w:t>
      </w:r>
      <w:r>
        <w:rPr>
          <w:rFonts w:ascii="Times New Roman" w:hAnsi="Times New Roman" w:cs="Times New Roman"/>
          <w:sz w:val="24"/>
          <w:szCs w:val="24"/>
        </w:rPr>
        <w:t xml:space="preserve"> </w:t>
      </w:r>
      <w:r w:rsidRPr="00514F0B" w:rsidR="00BF30CA">
        <w:rPr>
          <w:rFonts w:ascii="Times New Roman" w:hAnsi="Times New Roman" w:cs="Times New Roman"/>
          <w:sz w:val="24"/>
          <w:szCs w:val="24"/>
        </w:rPr>
        <w:t>https://www.mfcr.cz/cs/archiv/transformacni-instituce/agenda-byvaleho-fnm/sprava-majetku/kodex-spravy-a-rizeni-spolecnosti-corpor/kodex-spravy-a-rizeni-spolecnosti-zaloze-14620</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71)</w:t>
      </w:r>
      <w:r>
        <w:rPr>
          <w:rFonts w:ascii="Times New Roman" w:hAnsi="Times New Roman" w:cs="Times New Roman"/>
          <w:sz w:val="24"/>
          <w:szCs w:val="24"/>
        </w:rPr>
        <w:t xml:space="preserve"> </w:t>
      </w:r>
      <w:r w:rsidRPr="00514F0B" w:rsidR="00BF30CA">
        <w:rPr>
          <w:rFonts w:ascii="Times New Roman" w:hAnsi="Times New Roman" w:cs="Times New Roman"/>
          <w:sz w:val="24"/>
          <w:szCs w:val="24"/>
        </w:rPr>
        <w:t>https://www.cginstitut.cz/cs/corporate-governance-scorecard/</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72)</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https://ec.europa.eu/info/law/better-regulation/have-your-say/initiatives/12129-Non-financial-reporting-by-large-companies-updated-rules</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73)</w:t>
      </w:r>
      <w:r>
        <w:rPr>
          <w:rFonts w:ascii="Times New Roman" w:hAnsi="Times New Roman" w:cs="Times New Roman"/>
          <w:sz w:val="24"/>
          <w:szCs w:val="24"/>
        </w:rPr>
        <w:t xml:space="preserve"> </w:t>
      </w:r>
      <w:r w:rsidRPr="00BF30CA" w:rsidR="00BF30CA">
        <w:rPr>
          <w:rFonts w:ascii="Times New Roman" w:hAnsi="Times New Roman" w:cs="Times New Roman"/>
          <w:sz w:val="24"/>
          <w:szCs w:val="24"/>
        </w:rPr>
        <w:t>https://ec.europa.eu/info/law/better-regulation/have-your-say/initiatives/12548-Sustainable-corporate-governance</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74)</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https://zpravy.aktualne.cz/zahranici/prijmy-z-hazardu-a-sit-podivnych-firem-miliardovy-podvod-fun/r~7b315ba8d18211eab115ac1f6b220ee8/</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75)</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https://www.clfa.cz/statistiky/informace-o-trhu/statistiky-clfa-2007-2017</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76)</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https://www.cnb.cz/cs/financni-trhy/skd/</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77)</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https://www.mfcr.cz/cs/verejny-sektor/rizeni-statniho-dluhu/emise-statnich-dluhopisu/vysledky-aukci-spp</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78)</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https://www.mfcr.cz/cs/soukromy-sektor/kapitalovy-trh/podnikani-na-kapitalovem-trhu/2019/verejna-konzultace-planovana-legislativn-35843</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79)</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t>
      </w:r>
      <w:r w:rsidRPr="00514F0B" w:rsidR="00514F0B">
        <w:rPr>
          <w:rFonts w:ascii="Times New Roman" w:hAnsi="Times New Roman" w:cs="Times New Roman"/>
          <w:sz w:val="24"/>
          <w:szCs w:val="24"/>
        </w:rPr>
        <w:t>www</w:t>
      </w:r>
      <w:r w:rsidRPr="00514F0B" w:rsidR="00514F0B">
        <w:rPr>
          <w:rFonts w:ascii="Times New Roman" w:hAnsi="Times New Roman" w:cs="Times New Roman"/>
          <w:sz w:val="24"/>
          <w:szCs w:val="24"/>
        </w:rPr>
        <w:t>.</w:t>
      </w:r>
      <w:r w:rsidRPr="00514F0B" w:rsidR="00514F0B">
        <w:rPr>
          <w:rFonts w:ascii="Times New Roman" w:hAnsi="Times New Roman" w:cs="Times New Roman"/>
          <w:sz w:val="24"/>
          <w:szCs w:val="24"/>
        </w:rPr>
        <w:t>bis</w:t>
      </w:r>
      <w:r w:rsidRPr="00514F0B" w:rsidR="00514F0B">
        <w:rPr>
          <w:rFonts w:ascii="Times New Roman" w:hAnsi="Times New Roman" w:cs="Times New Roman"/>
          <w:sz w:val="24"/>
          <w:szCs w:val="24"/>
        </w:rPr>
        <w:t>.org/press/p200623.htm</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80)</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http://duchodovakomise.cz/wp-content/uploads/2020/11/OECD-Penzijn%C3%AD-p%C5%99ehled-%C4%8CR.pdf</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81)</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https://www.mfcr.cz/cs/aktualne/tiskove-zpravy/2020/oecd-zhodnotilo-cesky-duchodovy-system-39947</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82)</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https://ct24.ceskatelevize.cz/ekonomika/3232532-malacova-predlozi-v-prosinci-navrh-zakona-s-reformou-duchodu</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83)</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https://www.psp.cz/sqw/historie.sqw?T=910&amp;O=8</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84)</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https://www.senat.cz/xqw/xervlet/pssenat/historie?cid=pssenat_historie.pHistorieTisku.list&amp;forEach.action=detail&amp;forEach.value=s4690</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85)</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https://ct24.ceskatelevize.cz/ekonomika/3234114-senatori-chteji-z-danoveho-balicku-vyradit-patnactiprocentni-dan-z-prodeje-akcii</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86)</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https://www.mfcr.cz/cs/soukromy-sektor/kapitalovy-trh/podnikani-na-kapitalovem-trhu/2020/verejna-konzultace--scorecard-korporatni-37189</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87)</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https://www.idnes.cz/finance/investovani/investice-dluhopisy-korporatni-dluhopisy-firemni-dluhopisy-emitent-riziko-rating-investor-scorecard.A200304_193109_inv_daja</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88)</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https://vskp.vse.cz/81467_vyhodnoceni_trhu_skorporatnimi_dluhopisy_vcr_pomoci_scorecard_20</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89)</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https://www.cdcp.cz/index.php/cz/popis-bezplatnych-sluzeb/seznam-emisi</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90)</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t>
      </w:r>
      <w:r w:rsidRPr="00514F0B" w:rsidR="00514F0B">
        <w:rPr>
          <w:rFonts w:ascii="Times New Roman" w:hAnsi="Times New Roman" w:cs="Times New Roman"/>
          <w:sz w:val="24"/>
          <w:szCs w:val="24"/>
        </w:rPr>
        <w:t>www</w:t>
      </w:r>
      <w:r w:rsidRPr="00514F0B" w:rsidR="00514F0B">
        <w:rPr>
          <w:rFonts w:ascii="Times New Roman" w:hAnsi="Times New Roman" w:cs="Times New Roman"/>
          <w:sz w:val="24"/>
          <w:szCs w:val="24"/>
        </w:rPr>
        <w:t>.</w:t>
      </w:r>
      <w:r w:rsidRPr="00514F0B" w:rsidR="00514F0B">
        <w:rPr>
          <w:rFonts w:ascii="Times New Roman" w:hAnsi="Times New Roman" w:cs="Times New Roman"/>
          <w:sz w:val="24"/>
          <w:szCs w:val="24"/>
        </w:rPr>
        <w:t>euro</w:t>
      </w:r>
      <w:r w:rsidRPr="00514F0B" w:rsidR="00514F0B">
        <w:rPr>
          <w:rFonts w:ascii="Times New Roman" w:hAnsi="Times New Roman" w:cs="Times New Roman"/>
          <w:sz w:val="24"/>
          <w:szCs w:val="24"/>
        </w:rPr>
        <w:t>.cz/byznys/investori-do-dluhopisu-zootu-prijdou-o-stamiliony-prednost-dostanou-veritele-v-lepsi-pozici-1443311</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91)</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https://www.cnb.cz/export/sites/cnb/cs/dohled-financni-trh/.galleries/vykon_dohledu/dohledove_benchmarky/download/dohledovy_benchmark_2019_02.pdf</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92)</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https://www.jtbondindex.cz/</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93)</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https://www.mfcr.cz/cs/aktualne/tiskove-zpravy/2019/uspesny-pilotni-prodej-eurovych-dluhopis-36099</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94)</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https://www.investicniweb.cz/news-mf-prodalo-poprve-letos-dluhopisy-v-eurech-zajem-byl-vysoky/</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95)</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https://www.mfcr.cz/cs/aktualne/tiskove-zpravy/2020/ratingove-agentury-potvrzuji-vynikajici-39898</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96)</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https://www.sporicidluhopisycr.cz/cs/dluhopis-republiky</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97)</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https://www.sporicidluhopisycr.cz/cs/aktuality/2019/dluhopis-republiky-bude-mozne-poridit-1161</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98)</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https://www.sporicidluhopisycr.cz/cs/jak-investovat/elektronicky-pristup-ke-sprave-maj-uctu</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99)</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https://ec.europa.eu/info/publications/200722-proposal-capital-markets-recovery_en</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100)</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https://www.mfcr.cz/cs/soukromy-sektor/kapitalovy-trh/podnikani-na-kapitalovem-trhu/2020/evropska-komise-uverejnila-legislativni-39103</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101)</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https://ec.europa.eu/info/publications/200924-capital-markets-union-action-plan_en</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102)</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https://www.eu2022.cz/</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103)</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https://ec.europa.eu/info/news/cmu-high-level-forum-final-report_en</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104)</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https://www.mfcr.cz/en/themes/capital-market/capital-market-in-the-czech-republic/updated-english-translations-of-the-capi-38951</w:t>
      </w:r>
    </w:p>
    <w:p w:rsidR="001A2152" w:rsidP="001A2152">
      <w:pPr>
        <w:spacing w:after="120" w:line="240" w:lineRule="auto"/>
        <w:rPr>
          <w:rFonts w:ascii="Times New Roman" w:hAnsi="Times New Roman" w:cs="Times New Roman"/>
          <w:sz w:val="24"/>
          <w:szCs w:val="24"/>
        </w:rPr>
      </w:pPr>
      <w:r w:rsidRPr="007471AF">
        <w:rPr>
          <w:rFonts w:ascii="Times New Roman" w:hAnsi="Times New Roman" w:cs="Times New Roman"/>
          <w:sz w:val="24"/>
          <w:szCs w:val="24"/>
          <w:vertAlign w:val="superscript"/>
        </w:rPr>
        <w:t>105)</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https://www.mfcr.cz/en/themes/capital-market/capital-market-in-the-czech-republic/new-english-translation-of-the-act-on-ma-38401</w:t>
      </w:r>
    </w:p>
    <w:p w:rsidR="00542734" w:rsidRPr="002128E1" w:rsidP="007471AF">
      <w:pPr>
        <w:spacing w:after="120" w:line="240" w:lineRule="auto"/>
      </w:pPr>
      <w:r w:rsidRPr="007471AF">
        <w:rPr>
          <w:rFonts w:ascii="Times New Roman" w:hAnsi="Times New Roman" w:cs="Times New Roman"/>
          <w:sz w:val="24"/>
          <w:szCs w:val="24"/>
          <w:vertAlign w:val="superscript"/>
        </w:rPr>
        <w:t>106)</w:t>
      </w:r>
      <w:r>
        <w:rPr>
          <w:rFonts w:ascii="Times New Roman" w:hAnsi="Times New Roman" w:cs="Times New Roman"/>
          <w:sz w:val="24"/>
          <w:szCs w:val="24"/>
        </w:rPr>
        <w:t xml:space="preserve"> </w:t>
      </w:r>
      <w:r w:rsidRPr="00514F0B" w:rsidR="00514F0B">
        <w:rPr>
          <w:rFonts w:ascii="Times New Roman" w:hAnsi="Times New Roman" w:cs="Times New Roman"/>
          <w:sz w:val="24"/>
          <w:szCs w:val="24"/>
        </w:rPr>
        <w:t>https://www.mfcr.cz/en/themes/capital-market/capital-market-in-the-czech-republic/initiation-of-an-inter-ministerial-comme-38422</w:t>
      </w:r>
    </w:p>
    <w:sectPr w:rsidSect="00236563">
      <w:headerReference w:type="default" r:id="rId9"/>
      <w:footerReference w:type="default" r:id="rId10"/>
      <w:pgSz w:w="11906" w:h="16838"/>
      <w:pgMar w:top="1417" w:right="1417" w:bottom="1417" w:left="1417"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306195673"/>
      <w:docPartObj>
        <w:docPartGallery w:val="Page Numbers (Bottom of Page)"/>
        <w:docPartUnique/>
      </w:docPartObj>
    </w:sdtPr>
    <w:sdtContent>
      <w:p w:rsidR="001D6501" w:rsidRPr="00B57F5F">
        <w:pPr>
          <w:pStyle w:val="Footer"/>
          <w:jc w:val="center"/>
          <w:rPr>
            <w:rFonts w:ascii="Times New Roman" w:hAnsi="Times New Roman" w:cs="Times New Roman"/>
          </w:rPr>
        </w:pPr>
        <w:r w:rsidRPr="00B57F5F">
          <w:rPr>
            <w:rFonts w:ascii="Times New Roman" w:hAnsi="Times New Roman" w:cs="Times New Roman"/>
          </w:rPr>
          <w:fldChar w:fldCharType="begin"/>
        </w:r>
        <w:r w:rsidRPr="00B57F5F">
          <w:rPr>
            <w:rFonts w:ascii="Times New Roman" w:hAnsi="Times New Roman" w:cs="Times New Roman"/>
          </w:rPr>
          <w:instrText>PAGE   \* MERGEFORMAT</w:instrText>
        </w:r>
        <w:r w:rsidRPr="00B57F5F">
          <w:rPr>
            <w:rFonts w:ascii="Times New Roman" w:hAnsi="Times New Roman" w:cs="Times New Roman"/>
          </w:rPr>
          <w:fldChar w:fldCharType="separate"/>
        </w:r>
        <w:r w:rsidR="00025138">
          <w:rPr>
            <w:rFonts w:ascii="Times New Roman" w:hAnsi="Times New Roman" w:cs="Times New Roman"/>
            <w:noProof/>
          </w:rPr>
          <w:t>- 21 -</w:t>
        </w:r>
        <w:r w:rsidRPr="00B57F5F">
          <w:rPr>
            <w:rFonts w:ascii="Times New Roman" w:hAnsi="Times New Roman" w:cs="Times New Roman"/>
          </w:rPr>
          <w:fldChar w:fldCharType="end"/>
        </w:r>
      </w:p>
    </w:sdtContent>
  </w:sdt>
  <w:p w:rsidR="001D6501" w:rsidRPr="00B57F5F">
    <w:pPr>
      <w:pStyle w:val="Foo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6501" w:rsidP="0004703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Nadpis1Char"/>
    <w:uiPriority w:val="9"/>
    <w:qFormat/>
    <w:rsid w:val="008B205B"/>
    <w:pPr>
      <w:keepNext/>
      <w:keepLines/>
      <w:spacing w:before="360" w:after="120"/>
      <w:jc w:val="both"/>
      <w:outlineLvl w:val="0"/>
    </w:pPr>
    <w:rPr>
      <w:rFonts w:ascii="Arial" w:hAnsi="Arial" w:eastAsiaTheme="majorEastAsia" w:cstheme="majorBidi"/>
      <w:b/>
      <w:sz w:val="28"/>
      <w:szCs w:val="32"/>
    </w:rPr>
  </w:style>
  <w:style w:type="paragraph" w:styleId="Heading2">
    <w:name w:val="heading 2"/>
    <w:basedOn w:val="Normal"/>
    <w:next w:val="Normal"/>
    <w:link w:val="Nadpis2Char"/>
    <w:uiPriority w:val="9"/>
    <w:semiHidden/>
    <w:unhideWhenUsed/>
    <w:qFormat/>
    <w:rsid w:val="00B54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Nadpis5Char"/>
    <w:uiPriority w:val="9"/>
    <w:semiHidden/>
    <w:unhideWhenUsed/>
    <w:qFormat/>
    <w:rsid w:val="001301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81C"/>
    <w:rPr>
      <w:color w:val="0563C1" w:themeColor="hyperlink"/>
      <w:u w:val="single"/>
    </w:rPr>
  </w:style>
  <w:style w:type="table" w:customStyle="1" w:styleId="Mkatabulky3">
    <w:name w:val="Mřížka tabulky3"/>
    <w:basedOn w:val="TableNormal"/>
    <w:next w:val="TableGrid"/>
    <w:uiPriority w:val="59"/>
    <w:rsid w:val="005C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18D8"/>
    <w:rPr>
      <w:sz w:val="16"/>
      <w:szCs w:val="16"/>
    </w:rPr>
  </w:style>
  <w:style w:type="paragraph" w:styleId="CommentText">
    <w:name w:val="annotation text"/>
    <w:basedOn w:val="Normal"/>
    <w:link w:val="TextkomenteChar"/>
    <w:uiPriority w:val="99"/>
    <w:semiHidden/>
    <w:unhideWhenUsed/>
    <w:rsid w:val="00C418D8"/>
    <w:pPr>
      <w:spacing w:line="240" w:lineRule="auto"/>
    </w:pPr>
    <w:rPr>
      <w:sz w:val="20"/>
      <w:szCs w:val="20"/>
    </w:rPr>
  </w:style>
  <w:style w:type="character" w:customStyle="1" w:styleId="TextkomenteChar">
    <w:name w:val="Text komentáře Char"/>
    <w:basedOn w:val="DefaultParagraphFont"/>
    <w:link w:val="CommentText"/>
    <w:uiPriority w:val="99"/>
    <w:semiHidden/>
    <w:rsid w:val="00C418D8"/>
    <w:rPr>
      <w:sz w:val="20"/>
      <w:szCs w:val="20"/>
    </w:rPr>
  </w:style>
  <w:style w:type="paragraph" w:styleId="CommentSubject">
    <w:name w:val="annotation subject"/>
    <w:basedOn w:val="CommentText"/>
    <w:next w:val="CommentText"/>
    <w:link w:val="PedmtkomenteChar"/>
    <w:uiPriority w:val="99"/>
    <w:semiHidden/>
    <w:unhideWhenUsed/>
    <w:rsid w:val="00C418D8"/>
    <w:rPr>
      <w:b/>
      <w:bCs/>
    </w:rPr>
  </w:style>
  <w:style w:type="character" w:customStyle="1" w:styleId="PedmtkomenteChar">
    <w:name w:val="Předmět komentáře Char"/>
    <w:basedOn w:val="TextkomenteChar"/>
    <w:link w:val="CommentSubject"/>
    <w:uiPriority w:val="99"/>
    <w:semiHidden/>
    <w:rsid w:val="00C418D8"/>
    <w:rPr>
      <w:b/>
      <w:bCs/>
      <w:sz w:val="20"/>
      <w:szCs w:val="20"/>
    </w:rPr>
  </w:style>
  <w:style w:type="paragraph" w:styleId="BalloonText">
    <w:name w:val="Balloon Text"/>
    <w:basedOn w:val="Normal"/>
    <w:link w:val="TextbublinyChar"/>
    <w:uiPriority w:val="99"/>
    <w:semiHidden/>
    <w:unhideWhenUsed/>
    <w:rsid w:val="00C418D8"/>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C418D8"/>
    <w:rPr>
      <w:rFonts w:ascii="Segoe UI" w:hAnsi="Segoe UI" w:cs="Segoe UI"/>
      <w:sz w:val="18"/>
      <w:szCs w:val="18"/>
    </w:rPr>
  </w:style>
  <w:style w:type="paragraph" w:styleId="Header">
    <w:name w:val="header"/>
    <w:basedOn w:val="Normal"/>
    <w:link w:val="ZhlavChar"/>
    <w:uiPriority w:val="99"/>
    <w:unhideWhenUsed/>
    <w:rsid w:val="00236563"/>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236563"/>
  </w:style>
  <w:style w:type="paragraph" w:styleId="Footer">
    <w:name w:val="footer"/>
    <w:basedOn w:val="Normal"/>
    <w:link w:val="ZpatChar"/>
    <w:uiPriority w:val="99"/>
    <w:unhideWhenUsed/>
    <w:rsid w:val="00236563"/>
    <w:pPr>
      <w:tabs>
        <w:tab w:val="center" w:pos="4536"/>
        <w:tab w:val="right" w:pos="9072"/>
      </w:tabs>
      <w:spacing w:after="0" w:line="240" w:lineRule="auto"/>
    </w:pPr>
  </w:style>
  <w:style w:type="character" w:customStyle="1" w:styleId="ZpatChar">
    <w:name w:val="Zápatí Char"/>
    <w:basedOn w:val="DefaultParagraphFont"/>
    <w:link w:val="Footer"/>
    <w:uiPriority w:val="99"/>
    <w:rsid w:val="00236563"/>
  </w:style>
  <w:style w:type="table" w:customStyle="1" w:styleId="Mkatabulky4">
    <w:name w:val="Mřížka tabulky4"/>
    <w:basedOn w:val="TableNormal"/>
    <w:next w:val="TableGrid"/>
    <w:uiPriority w:val="59"/>
    <w:rsid w:val="0021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6B81"/>
    <w:rPr>
      <w:color w:val="954F72" w:themeColor="followedHyperlink"/>
      <w:u w:val="single"/>
    </w:rPr>
  </w:style>
  <w:style w:type="table" w:customStyle="1" w:styleId="Mkatabulky31">
    <w:name w:val="Mřížka tabulky31"/>
    <w:basedOn w:val="TableNormal"/>
    <w:next w:val="TableGrid"/>
    <w:uiPriority w:val="59"/>
    <w:rsid w:val="002E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TableNormal"/>
    <w:next w:val="TableGrid"/>
    <w:uiPriority w:val="59"/>
    <w:rsid w:val="00AC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DefaultParagraphFont"/>
    <w:link w:val="Heading1"/>
    <w:uiPriority w:val="9"/>
    <w:rsid w:val="008B205B"/>
    <w:rPr>
      <w:rFonts w:ascii="Arial" w:hAnsi="Arial" w:eastAsiaTheme="majorEastAsia" w:cstheme="majorBidi"/>
      <w:b/>
      <w:sz w:val="28"/>
      <w:szCs w:val="32"/>
    </w:rPr>
  </w:style>
  <w:style w:type="paragraph" w:styleId="Caption">
    <w:name w:val="caption"/>
    <w:basedOn w:val="Normal"/>
    <w:next w:val="Normal"/>
    <w:uiPriority w:val="35"/>
    <w:unhideWhenUsed/>
    <w:qFormat/>
    <w:rsid w:val="008B205B"/>
    <w:pPr>
      <w:spacing w:after="200" w:line="240" w:lineRule="auto"/>
      <w:jc w:val="both"/>
    </w:pPr>
    <w:rPr>
      <w:rFonts w:ascii="Arial" w:hAnsi="Arial"/>
      <w:i/>
      <w:iCs/>
      <w:color w:val="44546A" w:themeColor="text2"/>
      <w:sz w:val="18"/>
      <w:szCs w:val="18"/>
    </w:rPr>
  </w:style>
  <w:style w:type="character" w:customStyle="1" w:styleId="Nadpis2Char">
    <w:name w:val="Nadpis 2 Char"/>
    <w:basedOn w:val="DefaultParagraphFont"/>
    <w:link w:val="Heading2"/>
    <w:uiPriority w:val="9"/>
    <w:semiHidden/>
    <w:rsid w:val="00B5425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TextpoznpodarouChar"/>
    <w:uiPriority w:val="99"/>
    <w:semiHidden/>
    <w:unhideWhenUsed/>
    <w:rsid w:val="00B54255"/>
    <w:pPr>
      <w:spacing w:after="0" w:line="240" w:lineRule="auto"/>
      <w:jc w:val="both"/>
    </w:pPr>
    <w:rPr>
      <w:rFonts w:ascii="Times New Roman" w:hAnsi="Times New Roman"/>
      <w:sz w:val="20"/>
      <w:szCs w:val="20"/>
    </w:rPr>
  </w:style>
  <w:style w:type="character" w:customStyle="1" w:styleId="TextpoznpodarouChar">
    <w:name w:val="Text pozn. pod čarou Char"/>
    <w:basedOn w:val="DefaultParagraphFont"/>
    <w:link w:val="FootnoteText"/>
    <w:uiPriority w:val="99"/>
    <w:semiHidden/>
    <w:rsid w:val="00B54255"/>
    <w:rPr>
      <w:rFonts w:ascii="Times New Roman" w:hAnsi="Times New Roman"/>
      <w:sz w:val="20"/>
      <w:szCs w:val="20"/>
    </w:rPr>
  </w:style>
  <w:style w:type="character" w:styleId="FootnoteReference">
    <w:name w:val="footnote reference"/>
    <w:basedOn w:val="DefaultParagraphFont"/>
    <w:uiPriority w:val="99"/>
    <w:semiHidden/>
    <w:unhideWhenUsed/>
    <w:rsid w:val="00B54255"/>
    <w:rPr>
      <w:vertAlign w:val="superscript"/>
    </w:rPr>
  </w:style>
  <w:style w:type="table" w:customStyle="1" w:styleId="Mkatabulky41">
    <w:name w:val="Mřížka tabulky41"/>
    <w:basedOn w:val="TableNormal"/>
    <w:next w:val="TableGrid"/>
    <w:uiPriority w:val="59"/>
    <w:rsid w:val="00B5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13019E"/>
    <w:rPr>
      <w:rFonts w:asciiTheme="majorHAnsi" w:eastAsiaTheme="majorEastAsia" w:hAnsiTheme="majorHAnsi" w:cstheme="majorBidi"/>
      <w:color w:val="2E74B5" w:themeColor="accent1" w:themeShade="BF"/>
    </w:rPr>
  </w:style>
  <w:style w:type="paragraph" w:styleId="Revision">
    <w:name w:val="Revision"/>
    <w:hidden/>
    <w:uiPriority w:val="99"/>
    <w:semiHidden/>
    <w:rsid w:val="00025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hart" Target="charts/chart1.xml" /><Relationship Id="rId6" Type="http://schemas.openxmlformats.org/officeDocument/2006/relationships/chart" Target="charts/chart2.xml" /><Relationship Id="rId7" Type="http://schemas.openxmlformats.org/officeDocument/2006/relationships/chart" Target="charts/chart3.xml" /><Relationship Id="rId8" Type="http://schemas.openxmlformats.org/officeDocument/2006/relationships/chart" Target="charts/chart4.xml" /><Relationship Id="rId9" Type="http://schemas.openxmlformats.org/officeDocument/2006/relationships/header" Target="header1.xm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Marek%20&#352;ubrt\Desktop\&#218;daje%20pro%20zpr&#225;vu%20o%20Koncepci.xlsx" TargetMode="Externa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Marek%20&#352;ubrt\Desktop\&#218;daje%20pro%20zpr&#225;vu%20o%20Koncepci.xlsx" TargetMode="External" /></Relationships>
</file>

<file path=word/charts/_rels/chart4.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s>
</file>

<file path=word/charts/chart1.xml><?xml version="1.0" encoding="utf-8"?>
<c:chartSpace xmlns:c="http://schemas.openxmlformats.org/drawingml/2006/chart" xmlns:a="http://schemas.openxmlformats.org/drawingml/2006/main" xmlns:r="http://schemas.openxmlformats.org/officeDocument/2006/relationships">
  <c:lang val="cs-CZ"/>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a:t>Vývoj tržní kapitalizace BCPP (v mil.</a:t>
            </a:r>
            <a:r>
              <a:rPr lang="cs-CZ" baseline="0"/>
              <a:t> Kč)</a:t>
            </a:r>
            <a:endParaRPr lang="cs-CZ"/>
          </a:p>
        </c:rich>
      </c:tx>
      <c:spPr>
        <a:noFill/>
        <a:ln>
          <a:noFill/>
        </a:ln>
      </c:spPr>
    </c:title>
    <c:plotArea>
      <c:lineChart>
        <c:grouping val="standard"/>
        <c:varyColors val="0"/>
        <c:ser>
          <c:idx val="0"/>
          <c:order val="0"/>
          <c:tx>
            <c:strRef>
              <c:f>List1!$A$14</c:f>
              <c:strCache>
                <c:ptCount val="1"/>
                <c:pt idx="0">
                  <c:v>Prime a standard (levá osa)</c:v>
                </c:pt>
              </c:strCache>
            </c:strRef>
          </c:tx>
          <c:spPr>
            <a:ln w="28575" cap="rnd">
              <a:solidFill>
                <a:srgbClr val="002060"/>
              </a:solidFill>
              <a:round/>
            </a:ln>
          </c:spPr>
          <c:marker>
            <c:symbol val="circle"/>
            <c:size val="7"/>
            <c:spPr>
              <a:solidFill>
                <a:srgbClr val="002060"/>
              </a:solidFill>
              <a:ln w="9525">
                <a:solidFill>
                  <a:srgbClr val="002060"/>
                </a:solidFill>
              </a:ln>
            </c:spPr>
          </c:marker>
          <c:dLbls>
            <c:dLbl>
              <c:idx val="0"/>
              <c:layout>
                <c:manualLayout>
                  <c:x val="-0.09555555555555556"/>
                  <c:y val="0.044016112569262175"/>
                </c:manualLayout>
              </c:layout>
              <c:dLblPos val="r"/>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0-9F03-400C-8378-C7D07F37DD9A}"/>
                </c:ext>
              </c:extLst>
            </c:dLbl>
            <c:dLbl>
              <c:idx val="2"/>
              <c:layout>
                <c:manualLayout>
                  <c:x val="-0.087222222222222326"/>
                  <c:y val="0.071793890347039868"/>
                </c:manualLayout>
              </c:layout>
              <c:dLblPos val="r"/>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1-9F03-400C-8378-C7D07F37DD9A}"/>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List1!$B$13:$D$13</c:f>
              <c:strCache>
                <c:ptCount val="3"/>
                <c:pt idx="0">
                  <c:v>2018</c:v>
                </c:pt>
                <c:pt idx="1">
                  <c:v>2019</c:v>
                </c:pt>
                <c:pt idx="2">
                  <c:v>11/2020</c:v>
                </c:pt>
              </c:strCache>
            </c:strRef>
          </c:cat>
          <c:val>
            <c:numRef>
              <c:f>List1!$B$14:$D$14</c:f>
              <c:numCache>
                <c:formatCode>#,##0</c:formatCode>
                <c:ptCount val="3"/>
                <c:pt idx="0">
                  <c:v>1044594</c:v>
                </c:pt>
                <c:pt idx="1">
                  <c:v>1247543</c:v>
                </c:pt>
                <c:pt idx="2">
                  <c:v>1068673</c:v>
                </c:pt>
              </c:numCache>
            </c:numRef>
          </c:val>
        </c:ser>
        <c:dLbls>
          <c:showLegendKey val="0"/>
          <c:showVal val="0"/>
          <c:showCatName val="0"/>
          <c:showSerName val="0"/>
          <c:showPercent val="0"/>
          <c:showBubbleSize val="0"/>
        </c:dLbls>
        <c:marker val="1"/>
        <c:smooth val="0"/>
        <c:axId val="114750592"/>
        <c:axId val="114752128"/>
      </c:lineChart>
      <c:lineChart>
        <c:grouping val="standard"/>
        <c:varyColors val="0"/>
        <c:ser>
          <c:idx val="1"/>
          <c:order val="1"/>
          <c:tx>
            <c:strRef>
              <c:f>List1!$A$15</c:f>
              <c:strCache>
                <c:ptCount val="1"/>
                <c:pt idx="0">
                  <c:v>Start (pravá osa)</c:v>
                </c:pt>
              </c:strCache>
            </c:strRef>
          </c:tx>
          <c:spPr>
            <a:ln w="28575" cap="rnd">
              <a:solidFill>
                <a:schemeClr val="bg2">
                  <a:lumMod val="50000"/>
                </a:schemeClr>
              </a:solidFill>
              <a:round/>
            </a:ln>
          </c:spPr>
          <c:marker>
            <c:symbol val="triangle"/>
            <c:size val="7"/>
            <c:spPr>
              <a:solidFill>
                <a:schemeClr val="bg2">
                  <a:lumMod val="50000"/>
                </a:schemeClr>
              </a:solidFill>
              <a:ln w="9525">
                <a:solidFill>
                  <a:schemeClr val="bg2">
                    <a:lumMod val="50000"/>
                  </a:schemeClr>
                </a:solidFill>
              </a:ln>
            </c:spPr>
          </c:marker>
          <c:dLbls>
            <c:dLbl>
              <c:idx val="0"/>
              <c:layout>
                <c:manualLayout>
                  <c:x val="-0.10677099737532808"/>
                  <c:y val="-0.03931722076407116"/>
                </c:manualLayout>
              </c:layout>
              <c:dLblPos val="r"/>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3-9F03-400C-8378-C7D07F37DD9A}"/>
                </c:ext>
              </c:extLst>
            </c:dLbl>
            <c:dLbl>
              <c:idx val="1"/>
              <c:layout>
                <c:manualLayout>
                  <c:x val="-0.056770997375328085"/>
                  <c:y val="0.057905001458151063"/>
                </c:manualLayout>
              </c:layout>
              <c:dLblPos val="r"/>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4-9F03-400C-8378-C7D07F37DD9A}"/>
                </c:ext>
              </c:extLst>
            </c:dLbl>
            <c:dLbl>
              <c:idx val="2"/>
              <c:layout>
                <c:manualLayout>
                  <c:x val="-0.056770997375328286"/>
                  <c:y val="-0.04394685039370079"/>
                </c:manualLayout>
              </c:layout>
              <c:dLblPos val="r"/>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5-9F03-400C-8378-C7D07F37DD9A}"/>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List1!$B$13:$D$13</c:f>
              <c:strCache>
                <c:ptCount val="3"/>
                <c:pt idx="0">
                  <c:v>2018</c:v>
                </c:pt>
                <c:pt idx="1">
                  <c:v>2019</c:v>
                </c:pt>
                <c:pt idx="2">
                  <c:v>11/2020</c:v>
                </c:pt>
              </c:strCache>
            </c:strRef>
          </c:cat>
          <c:val>
            <c:numRef>
              <c:f>List1!$B$15:$D$15</c:f>
              <c:numCache>
                <c:formatCode>#,##0</c:formatCode>
                <c:ptCount val="3"/>
                <c:pt idx="0">
                  <c:v>2329</c:v>
                </c:pt>
                <c:pt idx="1">
                  <c:v>2586</c:v>
                </c:pt>
                <c:pt idx="2">
                  <c:v>4284</c:v>
                </c:pt>
              </c:numCache>
            </c:numRef>
          </c:val>
        </c:ser>
        <c:dLbls>
          <c:showLegendKey val="0"/>
          <c:showVal val="0"/>
          <c:showCatName val="0"/>
          <c:showSerName val="0"/>
          <c:showPercent val="0"/>
          <c:showBubbleSize val="0"/>
        </c:dLbls>
        <c:marker val="1"/>
        <c:smooth val="0"/>
        <c:axId val="159004544"/>
        <c:axId val="159003008"/>
      </c:lineChart>
      <c:catAx>
        <c:axId val="114750592"/>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14752128"/>
        <c:crosses val="autoZero"/>
        <c:auto val="1"/>
        <c:lblAlgn val="ctr"/>
        <c:lblOffset val="100"/>
      </c:catAx>
      <c:valAx>
        <c:axId val="114752128"/>
        <c:scaling>
          <c:orientation val="minMax"/>
          <c:min val="1000000"/>
        </c:scaling>
        <c:axPos val="l"/>
        <c:numFmt formatCode="#,##0" sourceLinked="1"/>
        <c:majorTickMark val="none"/>
        <c:minorTickMark val="none"/>
        <c:tickLblPos val="nextTo"/>
        <c:spPr>
          <a:noFill/>
          <a:ln>
            <a:noFill/>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14750592"/>
        <c:crosses val="autoZero"/>
        <c:crossBetween val="between"/>
        <c:majorUnit val="50000"/>
      </c:valAx>
      <c:valAx>
        <c:axId val="159003008"/>
        <c:scaling>
          <c:orientation val="minMax"/>
          <c:min val="1500"/>
        </c:scaling>
        <c:axPos val="r"/>
        <c:numFmt formatCode="#,##0" sourceLinked="1"/>
        <c:majorTickMark val="out"/>
        <c:minorTickMark val="none"/>
        <c:tickLblPos val="nextTo"/>
        <c:spPr>
          <a:noFill/>
          <a:ln>
            <a:noFill/>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9004544"/>
        <c:crosses val="max"/>
        <c:crossBetween val="between"/>
      </c:valAx>
      <c:catAx>
        <c:axId val="159004544"/>
        <c:scaling>
          <c:orientation val="minMax"/>
        </c:scaling>
        <c:delete val="1"/>
        <c:axPos val="b"/>
        <c:numFmt formatCode="General" sourceLinked="1"/>
        <c:majorTickMark val="out"/>
        <c:minorTickMark val="none"/>
        <c:tickLblPos val="nextTo"/>
        <c:crossAx val="159003008"/>
        <c:crosses val="autoZero"/>
        <c:auto val="1"/>
        <c:lblAlgn val="ctr"/>
        <c:lblOffset val="100"/>
      </c:catAx>
      <c:spPr>
        <a:noFill/>
        <a:ln>
          <a:noFill/>
        </a:ln>
      </c:spPr>
    </c:plotArea>
    <c:legend>
      <c:legendPos val="b"/>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chart>
  <c:spPr>
    <a:solidFill>
      <a:schemeClr val="bg1"/>
    </a:solidFill>
    <a:ln w="9525">
      <a:solidFill>
        <a:schemeClr val="tx1">
          <a:lumMod val="15000"/>
          <a:lumOff val="85000"/>
        </a:schemeClr>
      </a:solidFill>
      <a:round/>
    </a:ln>
  </c:spPr>
  <c:txPr>
    <a:bodyPr/>
    <a:lstStyle/>
    <a:p>
      <a:pPr>
        <a:defRPr>
          <a:solidFill>
            <a:sysClr val="windowText" lastClr="000000"/>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cs-CZ"/>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a:t>Objemy obchodů</a:t>
            </a:r>
            <a:r>
              <a:rPr lang="en-GB"/>
              <a:t> na BCPP</a:t>
            </a:r>
            <a:r>
              <a:rPr lang="cs-CZ"/>
              <a:t> (v mil. Kč)</a:t>
            </a:r>
          </a:p>
        </c:rich>
      </c:tx>
      <c:spPr>
        <a:noFill/>
        <a:ln>
          <a:noFill/>
        </a:ln>
      </c:spPr>
    </c:title>
    <c:plotArea>
      <c:lineChart>
        <c:grouping val="standard"/>
        <c:varyColors val="0"/>
        <c:ser>
          <c:idx val="0"/>
          <c:order val="0"/>
          <c:tx>
            <c:strRef>
              <c:f>List1!$A$8</c:f>
              <c:strCache>
                <c:ptCount val="1"/>
                <c:pt idx="0">
                  <c:v>Akcie (levá osa)</c:v>
                </c:pt>
              </c:strCache>
            </c:strRef>
          </c:tx>
          <c:spPr>
            <a:ln w="28575" cap="rnd">
              <a:solidFill>
                <a:srgbClr val="002060"/>
              </a:solidFill>
              <a:round/>
            </a:ln>
          </c:spPr>
          <c:marker>
            <c:symbol val="circle"/>
            <c:size val="7"/>
            <c:spPr>
              <a:solidFill>
                <a:srgbClr val="002060"/>
              </a:solidFill>
              <a:ln w="9525">
                <a:solidFill>
                  <a:srgbClr val="002060"/>
                </a:solidFill>
              </a:ln>
            </c:spPr>
          </c:marker>
          <c:dLbls>
            <c:dLbl>
              <c:idx val="0"/>
              <c:layout>
                <c:manualLayout>
                  <c:x val="-0.063033486539724251"/>
                  <c:y val="-0.057458543539028656"/>
                </c:manualLayout>
              </c:layout>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0-3BD4-4D6F-A505-B165838F2372}"/>
                </c:ext>
              </c:extLst>
            </c:dLbl>
            <c:dLbl>
              <c:idx val="1"/>
              <c:layout>
                <c:manualLayout>
                  <c:x val="-0.065659881812212828"/>
                  <c:y val="0.053038655574488072"/>
                </c:manualLayout>
              </c:layout>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1-3BD4-4D6F-A505-B165838F2372}"/>
                </c:ext>
              </c:extLst>
            </c:dLbl>
            <c:dLbl>
              <c:idx val="2"/>
              <c:layout>
                <c:manualLayout>
                  <c:x val="-0.057780695994747305"/>
                  <c:y val="-0.053038655574488072"/>
                </c:manualLayout>
              </c:layout>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2-3BD4-4D6F-A505-B165838F2372}"/>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List1!$B$7:$D$7</c:f>
              <c:strCache>
                <c:ptCount val="3"/>
                <c:pt idx="0">
                  <c:v>2018</c:v>
                </c:pt>
                <c:pt idx="1">
                  <c:v>2019</c:v>
                </c:pt>
                <c:pt idx="2">
                  <c:v>11/2020</c:v>
                </c:pt>
              </c:strCache>
            </c:strRef>
          </c:cat>
          <c:val>
            <c:numRef>
              <c:f>List1!$B$8:$D$8</c:f>
              <c:numCache>
                <c:formatCode>#,##0</c:formatCode>
                <c:ptCount val="3"/>
                <c:pt idx="0">
                  <c:v>142548</c:v>
                </c:pt>
                <c:pt idx="1">
                  <c:v>108780</c:v>
                </c:pt>
                <c:pt idx="2">
                  <c:v>115835</c:v>
                </c:pt>
              </c:numCache>
            </c:numRef>
          </c:val>
        </c:ser>
        <c:dLbls>
          <c:showLegendKey val="0"/>
          <c:showVal val="0"/>
          <c:showCatName val="0"/>
          <c:showSerName val="0"/>
          <c:showPercent val="0"/>
          <c:showBubbleSize val="0"/>
        </c:dLbls>
        <c:marker val="1"/>
        <c:smooth val="0"/>
        <c:axId val="201560832"/>
        <c:axId val="201562368"/>
      </c:lineChart>
      <c:lineChart>
        <c:grouping val="standard"/>
        <c:varyColors val="0"/>
        <c:ser>
          <c:idx val="1"/>
          <c:order val="1"/>
          <c:tx>
            <c:strRef>
              <c:f>List1!$A$9</c:f>
              <c:strCache>
                <c:ptCount val="1"/>
                <c:pt idx="0">
                  <c:v>Dluhopisy (pravá osa)</c:v>
                </c:pt>
              </c:strCache>
            </c:strRef>
          </c:tx>
          <c:spPr>
            <a:ln w="28575" cap="rnd">
              <a:solidFill>
                <a:schemeClr val="bg2">
                  <a:lumMod val="50000"/>
                </a:schemeClr>
              </a:solidFill>
              <a:round/>
            </a:ln>
          </c:spPr>
          <c:marker>
            <c:symbol val="triangle"/>
            <c:size val="7"/>
            <c:spPr>
              <a:solidFill>
                <a:schemeClr val="bg2">
                  <a:lumMod val="50000"/>
                </a:schemeClr>
              </a:solidFill>
              <a:ln w="9525">
                <a:solidFill>
                  <a:schemeClr val="bg2">
                    <a:lumMod val="50000"/>
                  </a:schemeClr>
                </a:solidFill>
              </a:ln>
            </c:spPr>
          </c:marker>
          <c:dLbls>
            <c:dLbl>
              <c:idx val="0"/>
              <c:layout>
                <c:manualLayout>
                  <c:x val="-0.0551543007222587"/>
                  <c:y val="0.057458543539028573"/>
                </c:manualLayout>
              </c:layout>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4-3BD4-4D6F-A505-B165838F2372}"/>
                </c:ext>
              </c:extLst>
            </c:dLbl>
            <c:dLbl>
              <c:idx val="1"/>
              <c:layout>
                <c:manualLayout>
                  <c:x val="-0.060407091267235716"/>
                  <c:y val="-0.053038655574487989"/>
                </c:manualLayout>
              </c:layout>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5-3BD4-4D6F-A505-B165838F2372}"/>
                </c:ext>
              </c:extLst>
            </c:dLbl>
            <c:dLbl>
              <c:idx val="2"/>
              <c:layout>
                <c:manualLayout>
                  <c:x val="-0.052527905449770193"/>
                  <c:y val="0.053038655574487989"/>
                </c:manualLayout>
              </c:layout>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6-3BD4-4D6F-A505-B165838F2372}"/>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List1!$B$7:$D$7</c:f>
              <c:strCache>
                <c:ptCount val="3"/>
                <c:pt idx="0">
                  <c:v>2018</c:v>
                </c:pt>
                <c:pt idx="1">
                  <c:v>2019</c:v>
                </c:pt>
                <c:pt idx="2">
                  <c:v>11/2020</c:v>
                </c:pt>
              </c:strCache>
            </c:strRef>
          </c:cat>
          <c:val>
            <c:numRef>
              <c:f>List1!$B$9:$D$9</c:f>
              <c:numCache>
                <c:formatCode>#,##0</c:formatCode>
                <c:ptCount val="3"/>
                <c:pt idx="0">
                  <c:v>9266</c:v>
                </c:pt>
                <c:pt idx="1">
                  <c:v>11921</c:v>
                </c:pt>
                <c:pt idx="2">
                  <c:v>8250</c:v>
                </c:pt>
              </c:numCache>
            </c:numRef>
          </c:val>
        </c:ser>
        <c:dLbls>
          <c:showLegendKey val="0"/>
          <c:showVal val="0"/>
          <c:showCatName val="0"/>
          <c:showSerName val="0"/>
          <c:showPercent val="0"/>
          <c:showBubbleSize val="0"/>
        </c:dLbls>
        <c:marker val="1"/>
        <c:smooth val="0"/>
        <c:axId val="165361152"/>
        <c:axId val="165359616"/>
      </c:lineChart>
      <c:catAx>
        <c:axId val="201560832"/>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01562368"/>
        <c:crosses val="autoZero"/>
        <c:auto val="1"/>
        <c:lblAlgn val="ctr"/>
        <c:lblOffset val="100"/>
      </c:catAx>
      <c:valAx>
        <c:axId val="201562368"/>
        <c:scaling>
          <c:orientation val="minMax"/>
          <c:min val="90000"/>
        </c:scaling>
        <c:axPos val="l"/>
        <c:numFmt formatCode="#,##0" sourceLinked="1"/>
        <c:majorTickMark val="none"/>
        <c:minorTickMark val="none"/>
        <c:tickLblPos val="nextTo"/>
        <c:spPr>
          <a:noFill/>
          <a:ln>
            <a:noFill/>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01560832"/>
        <c:crosses val="autoZero"/>
        <c:crossBetween val="between"/>
      </c:valAx>
      <c:valAx>
        <c:axId val="165359616"/>
        <c:scaling>
          <c:orientation val="minMax"/>
          <c:min val="7000"/>
        </c:scaling>
        <c:axPos val="r"/>
        <c:numFmt formatCode="#,##0" sourceLinked="1"/>
        <c:majorTickMark val="out"/>
        <c:minorTickMark val="none"/>
        <c:tickLblPos val="nextTo"/>
        <c:spPr>
          <a:noFill/>
          <a:ln>
            <a:noFill/>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65361152"/>
        <c:crosses val="max"/>
        <c:crossBetween val="between"/>
      </c:valAx>
      <c:catAx>
        <c:axId val="165361152"/>
        <c:scaling>
          <c:orientation val="minMax"/>
        </c:scaling>
        <c:delete val="1"/>
        <c:axPos val="b"/>
        <c:numFmt formatCode="General" sourceLinked="1"/>
        <c:majorTickMark val="out"/>
        <c:minorTickMark val="none"/>
        <c:tickLblPos val="nextTo"/>
        <c:crossAx val="165359616"/>
        <c:crosses val="autoZero"/>
        <c:auto val="1"/>
        <c:lblAlgn val="ctr"/>
        <c:lblOffset val="100"/>
      </c:catAx>
      <c:spPr>
        <a:noFill/>
        <a:ln>
          <a:noFill/>
        </a:ln>
      </c:spPr>
    </c:plotArea>
    <c:legend>
      <c:legendPos val="b"/>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chart>
  <c:spPr>
    <a:solidFill>
      <a:schemeClr val="bg1"/>
    </a:solidFill>
    <a:ln w="9525">
      <a:solidFill>
        <a:schemeClr val="tx1">
          <a:lumMod val="15000"/>
          <a:lumOff val="85000"/>
        </a:schemeClr>
      </a:solidFill>
      <a:round/>
    </a:ln>
  </c:spPr>
  <c:txPr>
    <a:bodyPr/>
    <a:lstStyle/>
    <a:p>
      <a:pPr>
        <a:defRPr>
          <a:solidFill>
            <a:sysClr val="windowText" lastClr="000000"/>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cs-CZ"/>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a:t>Financování českých nefinančních podniků (% z pasiv)</a:t>
            </a:r>
          </a:p>
        </c:rich>
      </c:tx>
      <c:spPr>
        <a:noFill/>
        <a:ln>
          <a:noFill/>
        </a:ln>
      </c:spPr>
    </c:title>
    <c:plotArea>
      <c:barChart>
        <c:barDir val="col"/>
        <c:grouping val="clustered"/>
        <c:varyColors val="0"/>
        <c:ser>
          <c:idx val="0"/>
          <c:order val="0"/>
          <c:tx>
            <c:strRef>
              <c:f>Společnosti!$A$28</c:f>
              <c:strCache>
                <c:ptCount val="1"/>
                <c:pt idx="0">
                  <c:v>Půjčky</c:v>
                </c:pt>
              </c:strCache>
            </c:strRef>
          </c:tx>
          <c:spPr>
            <a:solidFill>
              <a:srgbClr val="002060"/>
            </a:solidFill>
            <a:ln>
              <a:noFill/>
            </a:ln>
          </c:spPr>
          <c:dLbls>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Společnosti!$B$27:$F$27</c:f>
              <c:strCache>
                <c:ptCount val="3"/>
                <c:pt idx="0">
                  <c:v>2018</c:v>
                </c:pt>
                <c:pt idx="1">
                  <c:v>2019</c:v>
                </c:pt>
                <c:pt idx="2">
                  <c:v>06/2020</c:v>
                </c:pt>
              </c:strCache>
            </c:strRef>
          </c:cat>
          <c:val>
            <c:numRef>
              <c:f>Společnosti!$B$28:$F$28</c:f>
              <c:numCache>
                <c:formatCode>0.0%</c:formatCode>
                <c:ptCount val="3"/>
                <c:pt idx="0">
                  <c:v>0.24121626580666328</c:v>
                </c:pt>
                <c:pt idx="1">
                  <c:v>0.23518997794959873</c:v>
                </c:pt>
                <c:pt idx="2">
                  <c:v>0.23567882791000561</c:v>
                </c:pt>
              </c:numCache>
            </c:numRef>
          </c:val>
        </c:ser>
        <c:ser>
          <c:idx val="1"/>
          <c:order val="1"/>
          <c:tx>
            <c:strRef>
              <c:f>Společnosti!$A$29</c:f>
              <c:strCache>
                <c:ptCount val="1"/>
                <c:pt idx="0">
                  <c:v>Kótované akcie</c:v>
                </c:pt>
              </c:strCache>
            </c:strRef>
          </c:tx>
          <c:spPr>
            <a:solidFill>
              <a:schemeClr val="bg2">
                <a:lumMod val="50000"/>
              </a:schemeClr>
            </a:solidFill>
            <a:ln>
              <a:noFill/>
            </a:ln>
          </c:spPr>
          <c:dLbls>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Společnosti!$B$27:$F$27</c:f>
              <c:strCache>
                <c:ptCount val="3"/>
                <c:pt idx="0">
                  <c:v>2018</c:v>
                </c:pt>
                <c:pt idx="1">
                  <c:v>2019</c:v>
                </c:pt>
                <c:pt idx="2">
                  <c:v>06/2020</c:v>
                </c:pt>
              </c:strCache>
            </c:strRef>
          </c:cat>
          <c:val>
            <c:numRef>
              <c:f>Společnosti!$B$29:$F$29</c:f>
              <c:numCache>
                <c:formatCode>0.0%</c:formatCode>
                <c:ptCount val="3"/>
                <c:pt idx="0">
                  <c:v>0.034108717895582126</c:v>
                </c:pt>
                <c:pt idx="1">
                  <c:v>0.031985933178868595</c:v>
                </c:pt>
                <c:pt idx="2">
                  <c:v>0.03097726111283778</c:v>
                </c:pt>
              </c:numCache>
            </c:numRef>
          </c:val>
        </c:ser>
        <c:ser>
          <c:idx val="2"/>
          <c:order val="2"/>
          <c:tx>
            <c:strRef>
              <c:f>Společnosti!$A$30</c:f>
              <c:strCache>
                <c:ptCount val="1"/>
                <c:pt idx="0">
                  <c:v>Dluhové cenné papíry</c:v>
                </c:pt>
              </c:strCache>
            </c:strRef>
          </c:tx>
          <c:spPr>
            <a:solidFill>
              <a:srgbClr val="C00000"/>
            </a:solidFill>
            <a:ln>
              <a:noFill/>
            </a:ln>
          </c:spPr>
          <c:dLbls>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Společnosti!$B$27:$F$27</c:f>
              <c:strCache>
                <c:ptCount val="3"/>
                <c:pt idx="0">
                  <c:v>2018</c:v>
                </c:pt>
                <c:pt idx="1">
                  <c:v>2019</c:v>
                </c:pt>
                <c:pt idx="2">
                  <c:v>06/2020</c:v>
                </c:pt>
              </c:strCache>
            </c:strRef>
          </c:cat>
          <c:val>
            <c:numRef>
              <c:f>Společnosti!$B$30:$F$30</c:f>
              <c:numCache>
                <c:formatCode>0.0%</c:formatCode>
                <c:ptCount val="3"/>
                <c:pt idx="0">
                  <c:v>0.031049920777802241</c:v>
                </c:pt>
                <c:pt idx="1">
                  <c:v>0.03065789293678263</c:v>
                </c:pt>
                <c:pt idx="2">
                  <c:v>0.028850197057586784</c:v>
                </c:pt>
              </c:numCache>
            </c:numRef>
          </c:val>
        </c:ser>
        <c:dLbls>
          <c:showLegendKey val="0"/>
          <c:showVal val="0"/>
          <c:showCatName val="0"/>
          <c:showSerName val="0"/>
          <c:showPercent val="0"/>
          <c:showBubbleSize val="0"/>
        </c:dLbls>
        <c:gapWidth val="219"/>
        <c:overlap val="-27"/>
        <c:axId val="166938112"/>
        <c:axId val="166939648"/>
      </c:barChart>
      <c:catAx>
        <c:axId val="166938112"/>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66939648"/>
        <c:crosses val="autoZero"/>
        <c:auto val="1"/>
        <c:lblAlgn val="ctr"/>
        <c:lblOffset val="100"/>
      </c:catAx>
      <c:valAx>
        <c:axId val="166939648"/>
        <c:scaling>
          <c:orientation val="minMax"/>
        </c:scaling>
        <c:axPos val="l"/>
        <c:numFmt formatCode="0.0%" sourceLinked="1"/>
        <c:majorTickMark val="none"/>
        <c:minorTickMark val="none"/>
        <c:tickLblPos val="nextTo"/>
        <c:spPr>
          <a:noFill/>
          <a:ln>
            <a:noFill/>
          </a:ln>
        </c:spPr>
        <c:txPr>
          <a:bodyPr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66938112"/>
        <c:crosses val="autoZero"/>
        <c:crossBetween val="between"/>
      </c:valAx>
      <c:spPr>
        <a:noFill/>
        <a:ln>
          <a:noFill/>
        </a:ln>
      </c:spPr>
    </c:plotArea>
    <c:legend>
      <c:legendPos val="b"/>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chart>
  <c:spPr>
    <a:solidFill>
      <a:schemeClr val="bg1"/>
    </a:solidFill>
    <a:ln w="9525">
      <a:solidFill>
        <a:schemeClr val="tx1">
          <a:lumMod val="15000"/>
          <a:lumOff val="85000"/>
        </a:schemeClr>
      </a:solidFill>
      <a:round/>
    </a:ln>
  </c:spPr>
  <c:txPr>
    <a:bodyPr/>
    <a:lstStyle/>
    <a:p>
      <a:pPr>
        <a:defRPr>
          <a:solidFill>
            <a:sysClr val="windowText" lastClr="000000"/>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cs-CZ"/>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t>Podíl jednotlivých složek aktiv na celkových aktivech domácností</a:t>
            </a:r>
          </a:p>
        </c:rich>
      </c:tx>
      <c:spPr>
        <a:noFill/>
        <a:ln>
          <a:noFill/>
        </a:ln>
      </c:spPr>
    </c:title>
    <c:plotArea>
      <c:barChart>
        <c:barDir val="col"/>
        <c:grouping val="clustered"/>
        <c:varyColors val="0"/>
        <c:ser>
          <c:idx val="0"/>
          <c:order val="0"/>
          <c:tx>
            <c:strRef>
              <c:f>'Aktiva domácností'!$G$12</c:f>
              <c:strCache>
                <c:ptCount val="1"/>
                <c:pt idx="0">
                  <c:v>2018</c:v>
                </c:pt>
              </c:strCache>
            </c:strRef>
          </c:tx>
          <c:spPr>
            <a:solidFill>
              <a:srgbClr val="002060"/>
            </a:solidFill>
            <a:ln>
              <a:noFill/>
            </a:ln>
          </c:spPr>
          <c:dLbls>
            <c:dLbl>
              <c:idx val="0"/>
              <c:layout>
                <c:manualLayout>
                  <c:x val="-0.01532567049808429"/>
                  <c:y val="0"/>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0-71A7-47A0-9294-5C1F74C9F616}"/>
                </c:ext>
              </c:extLst>
            </c:dLbl>
            <c:dLbl>
              <c:idx val="1"/>
              <c:layout>
                <c:manualLayout>
                  <c:x val="-0.015325670498084332"/>
                  <c:y val="0"/>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1-71A7-47A0-9294-5C1F74C9F616}"/>
                </c:ext>
              </c:extLst>
            </c:dLbl>
            <c:dLbl>
              <c:idx val="2"/>
              <c:layout>
                <c:manualLayout>
                  <c:x val="-0.032840722495894953"/>
                  <c:y val="0"/>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2-71A7-47A0-9294-5C1F74C9F616}"/>
                </c:ext>
              </c:extLst>
            </c:dLbl>
            <c:dLbl>
              <c:idx val="3"/>
              <c:layout>
                <c:manualLayout>
                  <c:x val="-0.021893814997263273"/>
                  <c:y val="-7.407324193974758E-17"/>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3-71A7-47A0-9294-5C1F74C9F616}"/>
                </c:ext>
              </c:extLst>
            </c:dLbl>
            <c:dLbl>
              <c:idx val="4"/>
              <c:layout>
                <c:manualLayout>
                  <c:x val="-0.010946907498631636"/>
                  <c:y val="-0.03636364793244188"/>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4-71A7-47A0-9294-5C1F74C9F616}"/>
                </c:ext>
              </c:extLst>
            </c:dLbl>
            <c:dLbl>
              <c:idx val="5"/>
              <c:layout>
                <c:manualLayout>
                  <c:x val="-0.00875752599890531"/>
                  <c:y val="0.0040404053258268754"/>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5-71A7-47A0-9294-5C1F74C9F616}"/>
                </c:ext>
              </c:extLst>
            </c:dLbl>
            <c:dLbl>
              <c:idx val="6"/>
              <c:layout>
                <c:manualLayout>
                  <c:x val="-0.013136288998357963"/>
                  <c:y val="0.00808081065165375"/>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6-71A7-47A0-9294-5C1F74C9F616}"/>
                </c:ext>
              </c:extLst>
            </c:dLbl>
            <c:dLbl>
              <c:idx val="7"/>
              <c:layout>
                <c:manualLayout>
                  <c:x val="-0.00875752599890547"/>
                  <c:y val="-7.407324193974758E-17"/>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7-71A7-47A0-9294-5C1F74C9F616}"/>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'Aktiva domácností'!$F$13:$F$20</c:f>
              <c:strCache>
                <c:ptCount val="8"/>
                <c:pt idx="0">
                  <c:v>Hotovost a depozita</c:v>
                </c:pt>
                <c:pt idx="1">
                  <c:v>Dluhové cenné papíry</c:v>
                </c:pt>
                <c:pt idx="2">
                  <c:v>Podíly na vlastním kapitálu</c:v>
                </c:pt>
                <c:pt idx="3">
                  <c:v>   Kótované akcie</c:v>
                </c:pt>
                <c:pt idx="4">
                  <c:v>Podíly ve fondech</c:v>
                </c:pt>
                <c:pt idx="5">
                  <c:v>Penzijní spoření</c:v>
                </c:pt>
                <c:pt idx="6">
                  <c:v>Pojištění</c:v>
                </c:pt>
                <c:pt idx="7">
                  <c:v>Ostatní aktiva</c:v>
                </c:pt>
              </c:strCache>
            </c:strRef>
          </c:cat>
          <c:val>
            <c:numRef>
              <c:f>'Aktiva domácností'!$G$13:$G$20</c:f>
              <c:numCache>
                <c:formatCode>0.0%</c:formatCode>
                <c:ptCount val="8"/>
                <c:pt idx="0">
                  <c:v>0.45628200494843069</c:v>
                </c:pt>
                <c:pt idx="1">
                  <c:v>0.018534560247606871</c:v>
                </c:pt>
                <c:pt idx="2">
                  <c:v>0.32574759296840977</c:v>
                </c:pt>
                <c:pt idx="3">
                  <c:v>0.010045128946466135</c:v>
                </c:pt>
                <c:pt idx="4">
                  <c:v>0.065070566104176525</c:v>
                </c:pt>
                <c:pt idx="5">
                  <c:v>0.064310694726307321</c:v>
                </c:pt>
                <c:pt idx="6">
                  <c:v>0.044160017792110318</c:v>
                </c:pt>
                <c:pt idx="7">
                  <c:v>0.02589419254399377</c:v>
                </c:pt>
              </c:numCache>
            </c:numRef>
          </c:val>
        </c:ser>
        <c:ser>
          <c:idx val="1"/>
          <c:order val="1"/>
          <c:tx>
            <c:strRef>
              <c:f>'Aktiva domácností'!$H$12</c:f>
              <c:strCache>
                <c:ptCount val="1"/>
                <c:pt idx="0">
                  <c:v>2019</c:v>
                </c:pt>
              </c:strCache>
            </c:strRef>
          </c:tx>
          <c:spPr>
            <a:solidFill>
              <a:schemeClr val="bg2">
                <a:lumMod val="50000"/>
              </a:schemeClr>
            </a:solidFill>
            <a:ln>
              <a:noFill/>
            </a:ln>
          </c:spPr>
          <c:dLbls>
            <c:dLbl>
              <c:idx val="0"/>
              <c:layout>
                <c:manualLayout>
                  <c:x val="0.015325670498084271"/>
                  <c:y val="-0.044444458584095625"/>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9-71A7-47A0-9294-5C1F74C9F616}"/>
                </c:ext>
              </c:extLst>
            </c:dLbl>
            <c:dLbl>
              <c:idx val="1"/>
              <c:layout>
                <c:manualLayout>
                  <c:x val="-4.0138197148437415E-17"/>
                  <c:y val="-0.0404040532582689"/>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A-71A7-47A0-9294-5C1F74C9F616}"/>
                </c:ext>
              </c:extLst>
            </c:dLbl>
            <c:dLbl>
              <c:idx val="2"/>
              <c:layout>
                <c:manualLayout>
                  <c:x val="-8.0276394296874831E-17"/>
                  <c:y val="-0.044444458584095625"/>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B-71A7-47A0-9294-5C1F74C9F616}"/>
                </c:ext>
              </c:extLst>
            </c:dLbl>
            <c:dLbl>
              <c:idx val="3"/>
              <c:layout>
                <c:manualLayout>
                  <c:x val="0"/>
                  <c:y val="-0.064646485213230076"/>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C-71A7-47A0-9294-5C1F74C9F616}"/>
                </c:ext>
              </c:extLst>
            </c:dLbl>
            <c:dLbl>
              <c:idx val="5"/>
              <c:layout>
                <c:manualLayout>
                  <c:x val="-8.0276394296874831E-17"/>
                  <c:y val="-0.092929322494018127"/>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D-71A7-47A0-9294-5C1F74C9F616}"/>
                </c:ext>
              </c:extLst>
            </c:dLbl>
            <c:dLbl>
              <c:idx val="6"/>
              <c:layout>
                <c:manualLayout>
                  <c:x val="0"/>
                  <c:y val="-0.052525269235749454"/>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E-71A7-47A0-9294-5C1F74C9F616}"/>
                </c:ext>
              </c:extLst>
            </c:dLbl>
            <c:dLbl>
              <c:idx val="7"/>
              <c:layout>
                <c:manualLayout>
                  <c:x val="0"/>
                  <c:y val="-0.052525269235749454"/>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0F-71A7-47A0-9294-5C1F74C9F616}"/>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layout/>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'Aktiva domácností'!$F$13:$F$20</c:f>
              <c:strCache>
                <c:ptCount val="8"/>
                <c:pt idx="0">
                  <c:v>Hotovost a depozita</c:v>
                </c:pt>
                <c:pt idx="1">
                  <c:v>Dluhové cenné papíry</c:v>
                </c:pt>
                <c:pt idx="2">
                  <c:v>Podíly na vlastním kapitálu</c:v>
                </c:pt>
                <c:pt idx="3">
                  <c:v>   Kótované akcie</c:v>
                </c:pt>
                <c:pt idx="4">
                  <c:v>Podíly ve fondech</c:v>
                </c:pt>
                <c:pt idx="5">
                  <c:v>Penzijní spoření</c:v>
                </c:pt>
                <c:pt idx="6">
                  <c:v>Pojištění</c:v>
                </c:pt>
                <c:pt idx="7">
                  <c:v>Ostatní aktiva</c:v>
                </c:pt>
              </c:strCache>
            </c:strRef>
          </c:cat>
          <c:val>
            <c:numRef>
              <c:f>'Aktiva domácností'!$H$13:$H$20</c:f>
              <c:numCache>
                <c:formatCode>0.0%</c:formatCode>
                <c:ptCount val="8"/>
                <c:pt idx="0">
                  <c:v>0.4442081729848682</c:v>
                </c:pt>
                <c:pt idx="1">
                  <c:v>0.019272155056404009</c:v>
                </c:pt>
                <c:pt idx="2">
                  <c:v>0.33249810548344561</c:v>
                </c:pt>
                <c:pt idx="3">
                  <c:v>0.010473440361158232</c:v>
                </c:pt>
                <c:pt idx="4">
                  <c:v>0.069041981408117972</c:v>
                </c:pt>
                <c:pt idx="5">
                  <c:v>0.064142869471180433</c:v>
                </c:pt>
                <c:pt idx="6">
                  <c:v>0.0413045061177378</c:v>
                </c:pt>
                <c:pt idx="7">
                  <c:v>0.02953187237565634</c:v>
                </c:pt>
              </c:numCache>
            </c:numRef>
          </c:val>
        </c:ser>
        <c:ser>
          <c:idx val="2"/>
          <c:order val="2"/>
          <c:tx>
            <c:strRef>
              <c:f>'Aktiva domácností'!$I$12</c:f>
              <c:strCache>
                <c:ptCount val="1"/>
                <c:pt idx="0">
                  <c:v>06/2020</c:v>
                </c:pt>
              </c:strCache>
            </c:strRef>
          </c:tx>
          <c:spPr>
            <a:solidFill>
              <a:srgbClr val="C00000"/>
            </a:solidFill>
            <a:ln>
              <a:noFill/>
            </a:ln>
          </c:spPr>
          <c:dLbls>
            <c:dLbl>
              <c:idx val="0"/>
              <c:layout>
                <c:manualLayout>
                  <c:x val="0.041598248494800177"/>
                  <c:y val="0.0040404053258268754"/>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1-71A7-47A0-9294-5C1F74C9F616}"/>
                </c:ext>
              </c:extLst>
            </c:dLbl>
            <c:dLbl>
              <c:idx val="1"/>
              <c:layout>
                <c:manualLayout>
                  <c:x val="0.019704433497536946"/>
                  <c:y val="0"/>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2-71A7-47A0-9294-5C1F74C9F616}"/>
                </c:ext>
              </c:extLst>
            </c:dLbl>
            <c:dLbl>
              <c:idx val="2"/>
              <c:layout>
                <c:manualLayout>
                  <c:x val="0.028461959496442254"/>
                  <c:y val="0"/>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3-71A7-47A0-9294-5C1F74C9F616}"/>
                </c:ext>
              </c:extLst>
            </c:dLbl>
            <c:dLbl>
              <c:idx val="3"/>
              <c:layout>
                <c:manualLayout>
                  <c:x val="0.017515051997810619"/>
                  <c:y val="0.0040404053258268754"/>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4-71A7-47A0-9294-5C1F74C9F616}"/>
                </c:ext>
              </c:extLst>
            </c:dLbl>
            <c:dLbl>
              <c:idx val="4"/>
              <c:layout>
                <c:manualLayout>
                  <c:x val="0.017515051997810619"/>
                  <c:y val="-0.048484863909922578"/>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5-71A7-47A0-9294-5C1F74C9F616}"/>
                </c:ext>
              </c:extLst>
            </c:dLbl>
            <c:dLbl>
              <c:idx val="5"/>
              <c:layout>
                <c:manualLayout>
                  <c:x val="0.01532567049808429"/>
                  <c:y val="-0.03636364793244188"/>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6-71A7-47A0-9294-5C1F74C9F616}"/>
                </c:ext>
              </c:extLst>
            </c:dLbl>
            <c:dLbl>
              <c:idx val="6"/>
              <c:layout>
                <c:manualLayout>
                  <c:x val="0.0240831964969896"/>
                  <c:y val="-0.06464648521323"/>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7-71A7-47A0-9294-5C1F74C9F616}"/>
                </c:ext>
              </c:extLst>
            </c:dLbl>
            <c:dLbl>
              <c:idx val="7"/>
              <c:layout>
                <c:manualLayout>
                  <c:x val="0.013136288998357963"/>
                  <c:y val="0.0040404053258268754"/>
                </c:manualLayout>
              </c:layout>
              <c:dLblPos val="outEnd"/>
              <c:showLegendKey val="0"/>
              <c:showVal val="1"/>
              <c:showCatName val="0"/>
              <c:showSerName val="0"/>
              <c:showPercent val="0"/>
              <c:showBubbleSize val="0"/>
              <c:extLst>
                <c:ext xmlns:c="http://schemas.openxmlformats.org/drawingml/2006/chart" xmlns:c15="http://schemas.microsoft.com/office/drawing/2012/chart" uri="{CE6537A1-D6FC-4f65-9D91-7224C49458BB}">
                  <c15:layout/>
                </c:ext>
                <c:ext xmlns:c="http://schemas.openxmlformats.org/drawingml/2006/chart" xmlns:c16="http://schemas.microsoft.com/office/drawing/2014/chart" uri="{C3380CC4-5D6E-409C-BE32-E72D297353CC}">
                  <c16:uniqueId val="{00000018-71A7-47A0-9294-5C1F74C9F616}"/>
                </c:ext>
              </c:extLst>
            </c:dLbl>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'Aktiva domácností'!$F$13:$F$20</c:f>
              <c:strCache>
                <c:ptCount val="8"/>
                <c:pt idx="0">
                  <c:v>Hotovost a depozita</c:v>
                </c:pt>
                <c:pt idx="1">
                  <c:v>Dluhové cenné papíry</c:v>
                </c:pt>
                <c:pt idx="2">
                  <c:v>Podíly na vlastním kapitálu</c:v>
                </c:pt>
                <c:pt idx="3">
                  <c:v>   Kótované akcie</c:v>
                </c:pt>
                <c:pt idx="4">
                  <c:v>Podíly ve fondech</c:v>
                </c:pt>
                <c:pt idx="5">
                  <c:v>Penzijní spoření</c:v>
                </c:pt>
                <c:pt idx="6">
                  <c:v>Pojištění</c:v>
                </c:pt>
                <c:pt idx="7">
                  <c:v>Ostatní aktiva</c:v>
                </c:pt>
              </c:strCache>
            </c:strRef>
          </c:cat>
          <c:val>
            <c:numRef>
              <c:f>'Aktiva domácností'!$I$13:$I$20</c:f>
              <c:numCache>
                <c:formatCode>0.0%</c:formatCode>
                <c:ptCount val="8"/>
                <c:pt idx="0">
                  <c:v>0.4499290456967347</c:v>
                </c:pt>
                <c:pt idx="1">
                  <c:v>0.018496458369531635</c:v>
                </c:pt>
                <c:pt idx="2">
                  <c:v>0.33255291487309019</c:v>
                </c:pt>
                <c:pt idx="3">
                  <c:v>0.03257204785815359</c:v>
                </c:pt>
                <c:pt idx="4">
                  <c:v>0.065792791799994726</c:v>
                </c:pt>
                <c:pt idx="5">
                  <c:v>0.063541116649685855</c:v>
                </c:pt>
                <c:pt idx="6">
                  <c:v>0.039069149853189829</c:v>
                </c:pt>
                <c:pt idx="7">
                  <c:v>0.030618522757773031</c:v>
                </c:pt>
              </c:numCache>
            </c:numRef>
          </c:val>
        </c:ser>
        <c:dLbls>
          <c:showLegendKey val="0"/>
          <c:showVal val="0"/>
          <c:showCatName val="0"/>
          <c:showSerName val="0"/>
          <c:showPercent val="0"/>
          <c:showBubbleSize val="0"/>
        </c:dLbls>
        <c:gapWidth val="219"/>
        <c:overlap val="-27"/>
        <c:axId val="167036416"/>
        <c:axId val="167037952"/>
      </c:barChart>
      <c:catAx>
        <c:axId val="167036416"/>
        <c:scaling>
          <c:orientation val="minMax"/>
        </c:scaling>
        <c:axPos val="b"/>
        <c:numFmt formatCode="General" sourceLinked="1"/>
        <c:majorTickMark val="none"/>
        <c:minorTickMark val="none"/>
        <c:tickLblPos val="nextTo"/>
        <c:spPr>
          <a:noFill/>
          <a:ln w="9525">
            <a:solidFill>
              <a:schemeClr val="tx1">
                <a:lumMod val="15000"/>
                <a:lumOff val="85000"/>
              </a:schemeClr>
            </a:solidFill>
            <a:round/>
          </a:ln>
        </c:spPr>
        <c:txPr>
          <a:bodyPr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67037952"/>
        <c:crosses val="autoZero"/>
        <c:auto val="1"/>
        <c:lblAlgn val="ctr"/>
        <c:lblOffset val="100"/>
      </c:catAx>
      <c:valAx>
        <c:axId val="167037952"/>
        <c:scaling>
          <c:orientation val="minMax"/>
        </c:scaling>
        <c:axPos val="l"/>
        <c:numFmt formatCode="0.0%" sourceLinked="1"/>
        <c:majorTickMark val="none"/>
        <c:minorTickMark val="none"/>
        <c:tickLblPos val="nextTo"/>
        <c:spPr>
          <a:noFill/>
          <a:ln>
            <a:noFill/>
          </a:ln>
        </c:spPr>
        <c:txPr>
          <a:bodyPr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67036416"/>
        <c:crosses val="autoZero"/>
        <c:crossBetween val="between"/>
      </c:valAx>
      <c:spPr>
        <a:noFill/>
        <a:ln>
          <a:noFill/>
        </a:ln>
      </c:spPr>
    </c:plotArea>
    <c:legend>
      <c:legendPos val="b"/>
      <c:spPr>
        <a:noFill/>
        <a:ln>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chart>
  <c:spPr>
    <a:solidFill>
      <a:schemeClr val="bg1"/>
    </a:solidFill>
    <a:ln w="9525">
      <a:solidFill>
        <a:schemeClr val="tx1">
          <a:lumMod val="15000"/>
          <a:lumOff val="85000"/>
        </a:schemeClr>
      </a:solidFill>
      <a:round/>
    </a:ln>
  </c:spPr>
  <c:txPr>
    <a:bodyPr/>
    <a:lstStyle/>
    <a:p>
      <a:pPr>
        <a:defRPr>
          <a:solidFill>
            <a:sysClr val="windowText" lastClr="000000"/>
          </a:solidFill>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EF94-7177-4885-983C-94A6CF57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23</Pages>
  <Words>11426</Words>
  <Characters>67415</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2020-12-15T07:13:00Z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