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73461D" w:rsidRPr="004B5231" w:rsidP="0073461D">
      <w:pPr>
        <w:autoSpaceDE w:val="0"/>
        <w:autoSpaceDN w:val="0"/>
        <w:adjustRightInd w:val="0"/>
        <w:spacing w:after="0" w:line="240" w:lineRule="auto"/>
        <w:jc w:val="center"/>
        <w:rPr>
          <w:rFonts w:cs="Times New Roman"/>
          <w:b/>
          <w:bCs/>
          <w:sz w:val="36"/>
          <w:szCs w:val="36"/>
        </w:rPr>
      </w:pPr>
      <w:r w:rsidRPr="004B5231">
        <w:rPr>
          <w:rFonts w:cs="Times New Roman"/>
          <w:b/>
          <w:bCs/>
          <w:sz w:val="36"/>
          <w:szCs w:val="36"/>
        </w:rPr>
        <w:t>MINISTERSTVO FINANCÍ ČESKÉ REPUBLIKY</w:t>
      </w:r>
    </w:p>
    <w:p w:rsidR="0073461D" w:rsidRPr="004B5231" w:rsidP="0073461D">
      <w:pPr>
        <w:autoSpaceDE w:val="0"/>
        <w:autoSpaceDN w:val="0"/>
        <w:adjustRightInd w:val="0"/>
        <w:spacing w:after="0" w:line="240" w:lineRule="auto"/>
        <w:jc w:val="center"/>
        <w:rPr>
          <w:rFonts w:cs="Times New Roman"/>
          <w:b/>
          <w:bCs/>
          <w:sz w:val="24"/>
          <w:szCs w:val="24"/>
        </w:rPr>
      </w:pPr>
      <w:r w:rsidRPr="004B5231">
        <w:rPr>
          <w:rFonts w:cs="Times New Roman"/>
          <w:b/>
          <w:bCs/>
          <w:sz w:val="24"/>
          <w:szCs w:val="24"/>
        </w:rPr>
        <w:t>odbor Finanční trhy I; oddělení Bankovnictví</w:t>
      </w:r>
    </w:p>
    <w:p w:rsidR="0073461D" w:rsidRPr="004B5231" w:rsidP="0073461D">
      <w:pPr>
        <w:autoSpaceDE w:val="0"/>
        <w:autoSpaceDN w:val="0"/>
        <w:adjustRightInd w:val="0"/>
        <w:spacing w:after="0" w:line="240" w:lineRule="auto"/>
        <w:rPr>
          <w:rFonts w:cs="Times New Roman"/>
          <w:b/>
          <w:bCs/>
          <w:sz w:val="40"/>
          <w:szCs w:val="40"/>
        </w:rPr>
      </w:pPr>
    </w:p>
    <w:p w:rsidR="00D1200F" w:rsidP="0073461D">
      <w:pPr>
        <w:autoSpaceDE w:val="0"/>
        <w:autoSpaceDN w:val="0"/>
        <w:adjustRightInd w:val="0"/>
        <w:spacing w:after="0" w:line="240" w:lineRule="auto"/>
        <w:jc w:val="center"/>
        <w:rPr>
          <w:rFonts w:cs="Times New Roman"/>
          <w:b/>
          <w:bCs/>
          <w:sz w:val="36"/>
          <w:szCs w:val="36"/>
        </w:rPr>
      </w:pPr>
      <w:r>
        <w:rPr>
          <w:rFonts w:cs="Times New Roman"/>
          <w:b/>
          <w:bCs/>
          <w:sz w:val="36"/>
          <w:szCs w:val="36"/>
        </w:rPr>
        <w:t>V</w:t>
      </w:r>
      <w:r w:rsidRPr="004B5231">
        <w:rPr>
          <w:rFonts w:cs="Times New Roman"/>
          <w:b/>
          <w:bCs/>
          <w:sz w:val="36"/>
          <w:szCs w:val="36"/>
        </w:rPr>
        <w:t>yhodnocení veřejné konzultace</w:t>
      </w:r>
    </w:p>
    <w:p w:rsidR="00D1200F" w:rsidP="0073461D">
      <w:pPr>
        <w:autoSpaceDE w:val="0"/>
        <w:autoSpaceDN w:val="0"/>
        <w:adjustRightInd w:val="0"/>
        <w:spacing w:after="0" w:line="240" w:lineRule="auto"/>
        <w:jc w:val="center"/>
        <w:rPr>
          <w:rFonts w:cs="Times New Roman"/>
          <w:b/>
          <w:bCs/>
          <w:sz w:val="36"/>
          <w:szCs w:val="36"/>
        </w:rPr>
      </w:pPr>
    </w:p>
    <w:p w:rsidR="0073461D" w:rsidRPr="004B5231" w:rsidP="0073461D">
      <w:pPr>
        <w:autoSpaceDE w:val="0"/>
        <w:autoSpaceDN w:val="0"/>
        <w:adjustRightInd w:val="0"/>
        <w:spacing w:after="0" w:line="240" w:lineRule="auto"/>
        <w:jc w:val="center"/>
        <w:rPr>
          <w:rFonts w:cs="Times New Roman"/>
          <w:b/>
          <w:bCs/>
          <w:sz w:val="36"/>
          <w:szCs w:val="36"/>
        </w:rPr>
      </w:pPr>
      <w:r w:rsidRPr="004B5231">
        <w:rPr>
          <w:rFonts w:cs="Times New Roman"/>
          <w:b/>
          <w:bCs/>
          <w:sz w:val="36"/>
          <w:szCs w:val="36"/>
        </w:rPr>
        <w:t xml:space="preserve">Pojištění vkladů vložených platební institucí, poskytovatelem platebních služeb malého rozsahu, institucí elektronických peněz nebo vydavatelem elektronických peněz malého rozsahu </w:t>
      </w:r>
      <w:r w:rsidRPr="004B5231" w:rsidR="00441595">
        <w:rPr>
          <w:rFonts w:cs="Times New Roman"/>
          <w:b/>
          <w:bCs/>
          <w:sz w:val="36"/>
          <w:szCs w:val="36"/>
        </w:rPr>
        <w:t xml:space="preserve">(dále jen „PI“) </w:t>
      </w:r>
      <w:r w:rsidRPr="004B5231">
        <w:rPr>
          <w:rFonts w:cs="Times New Roman"/>
          <w:b/>
          <w:bCs/>
          <w:sz w:val="36"/>
          <w:szCs w:val="36"/>
        </w:rPr>
        <w:t xml:space="preserve">do banky nebo spořitelního a úvěrního družstva vlastním jménem na účet třetí osoby </w:t>
      </w:r>
      <w:r w:rsidRPr="004B5231" w:rsidR="00441595">
        <w:rPr>
          <w:rFonts w:cs="Times New Roman"/>
          <w:b/>
          <w:bCs/>
          <w:sz w:val="36"/>
          <w:szCs w:val="36"/>
        </w:rPr>
        <w:t xml:space="preserve">(dále jen „peněžní prostředky klientů PI uložené u banky“) </w:t>
      </w:r>
    </w:p>
    <w:p w:rsidR="004041F6" w:rsidRPr="004B5231" w:rsidP="0073461D">
      <w:pPr>
        <w:autoSpaceDE w:val="0"/>
        <w:autoSpaceDN w:val="0"/>
        <w:adjustRightInd w:val="0"/>
        <w:spacing w:after="0" w:line="240" w:lineRule="auto"/>
        <w:rPr>
          <w:rFonts w:cs="Times New Roman"/>
          <w:sz w:val="24"/>
          <w:szCs w:val="24"/>
        </w:rPr>
      </w:pPr>
    </w:p>
    <w:p w:rsidR="0073461D" w:rsidRPr="004B5231" w:rsidP="00CB4925">
      <w:pPr>
        <w:spacing w:before="120" w:after="120" w:line="23" w:lineRule="atLeast"/>
        <w:jc w:val="both"/>
        <w:rPr>
          <w:rFonts w:cs="Times New Roman"/>
          <w:sz w:val="24"/>
          <w:szCs w:val="24"/>
        </w:rPr>
      </w:pPr>
      <w:r w:rsidRPr="004B5231">
        <w:rPr>
          <w:rFonts w:cs="Times New Roman"/>
          <w:sz w:val="24"/>
          <w:szCs w:val="24"/>
        </w:rPr>
        <w:t>Konzultační materiál byl publikován na webových stránká</w:t>
      </w:r>
      <w:r w:rsidRPr="004B5231" w:rsidR="00441595">
        <w:rPr>
          <w:rFonts w:cs="Times New Roman"/>
          <w:sz w:val="24"/>
          <w:szCs w:val="24"/>
        </w:rPr>
        <w:t>ch Ministerstva financí dne 22. </w:t>
      </w:r>
      <w:r w:rsidRPr="004B5231">
        <w:rPr>
          <w:rFonts w:cs="Times New Roman"/>
          <w:sz w:val="24"/>
          <w:szCs w:val="24"/>
        </w:rPr>
        <w:t>června 2018 s termínem pro odpovědi do 13. července 2018. Konzultační materiál byl rovněž rozeslán na e-mailové adresy platebních institucí, poskytovatelů platebních služeb malého rozsahu, institucí elektronických peněz a vydavatelů elektronických peněz malého rozsahu, kter</w:t>
      </w:r>
      <w:r w:rsidRPr="004B5231" w:rsidR="004B5788">
        <w:rPr>
          <w:rFonts w:cs="Times New Roman"/>
          <w:sz w:val="24"/>
          <w:szCs w:val="24"/>
        </w:rPr>
        <w:t>é</w:t>
      </w:r>
      <w:r w:rsidRPr="004B5231">
        <w:rPr>
          <w:rFonts w:cs="Times New Roman"/>
          <w:sz w:val="24"/>
          <w:szCs w:val="24"/>
        </w:rPr>
        <w:t xml:space="preserve"> vede Česká národní banka</w:t>
      </w:r>
      <w:r w:rsidRPr="00CB4925" w:rsidR="004B5788">
        <w:rPr>
          <w:rFonts w:cs="Times New Roman"/>
          <w:sz w:val="24"/>
          <w:szCs w:val="24"/>
        </w:rPr>
        <w:t xml:space="preserve"> </w:t>
      </w:r>
      <w:r w:rsidRPr="004B5231" w:rsidR="004B5788">
        <w:rPr>
          <w:rFonts w:cs="Times New Roman"/>
          <w:sz w:val="24"/>
          <w:szCs w:val="24"/>
        </w:rPr>
        <w:t>v seznamu těchto osob</w:t>
      </w:r>
      <w:r w:rsidRPr="004B5231">
        <w:rPr>
          <w:rFonts w:cs="Times New Roman"/>
          <w:sz w:val="24"/>
          <w:szCs w:val="24"/>
        </w:rPr>
        <w:t xml:space="preserve">. Zároveň byl osloven Garanční systém finančního trhu </w:t>
      </w:r>
      <w:r w:rsidRPr="004B5231" w:rsidR="009A1472">
        <w:rPr>
          <w:rFonts w:cs="Times New Roman"/>
          <w:sz w:val="24"/>
          <w:szCs w:val="24"/>
        </w:rPr>
        <w:t xml:space="preserve">(dále jen „GSFT“) </w:t>
      </w:r>
      <w:r w:rsidRPr="004B5231">
        <w:rPr>
          <w:rFonts w:cs="Times New Roman"/>
          <w:sz w:val="24"/>
          <w:szCs w:val="24"/>
        </w:rPr>
        <w:t>a 4 asociace působící na bankovním trhu, trhu družstevních záložen a trhu platebních institucí.</w:t>
      </w:r>
    </w:p>
    <w:p w:rsidR="0073461D" w:rsidRPr="004B5231" w:rsidP="00CB4925">
      <w:pPr>
        <w:spacing w:before="120" w:after="120" w:line="23" w:lineRule="atLeast"/>
        <w:jc w:val="both"/>
        <w:rPr>
          <w:rFonts w:cs="Times New Roman"/>
          <w:sz w:val="24"/>
          <w:szCs w:val="24"/>
        </w:rPr>
      </w:pPr>
      <w:r w:rsidRPr="004B5231">
        <w:rPr>
          <w:rFonts w:cs="Times New Roman"/>
          <w:sz w:val="24"/>
          <w:szCs w:val="24"/>
        </w:rPr>
        <w:t>Výsledky konzultace byly využity pro zvážení potřebn</w:t>
      </w:r>
      <w:r w:rsidRPr="004B5231" w:rsidR="00436748">
        <w:rPr>
          <w:rFonts w:cs="Times New Roman"/>
          <w:sz w:val="24"/>
          <w:szCs w:val="24"/>
        </w:rPr>
        <w:t xml:space="preserve">osti </w:t>
      </w:r>
      <w:r w:rsidRPr="0075167B" w:rsidR="0075167B">
        <w:rPr>
          <w:rFonts w:cs="Times New Roman"/>
          <w:sz w:val="24"/>
          <w:szCs w:val="24"/>
        </w:rPr>
        <w:t>změny legislativní úpravy pojištění vkladů v rámci právě dokončované novely zákona o bankách</w:t>
      </w:r>
      <w:r w:rsidRPr="004B5231">
        <w:rPr>
          <w:rFonts w:cs="Times New Roman"/>
          <w:sz w:val="24"/>
          <w:szCs w:val="24"/>
        </w:rPr>
        <w:t xml:space="preserve"> (viz dále v části „</w:t>
      </w:r>
      <w:r w:rsidRPr="004B5231" w:rsidR="00234BF5">
        <w:rPr>
          <w:rFonts w:cs="Times New Roman"/>
          <w:sz w:val="24"/>
          <w:szCs w:val="24"/>
        </w:rPr>
        <w:t>Závěr</w:t>
      </w:r>
      <w:r w:rsidRPr="004B5231">
        <w:rPr>
          <w:rFonts w:cs="Times New Roman"/>
          <w:sz w:val="24"/>
          <w:szCs w:val="24"/>
        </w:rPr>
        <w:t>“).</w:t>
      </w:r>
    </w:p>
    <w:p w:rsidR="0073461D" w:rsidRPr="004B5231" w:rsidP="00CB4925">
      <w:pPr>
        <w:autoSpaceDE w:val="0"/>
        <w:autoSpaceDN w:val="0"/>
        <w:adjustRightInd w:val="0"/>
        <w:spacing w:before="120" w:after="120" w:line="23" w:lineRule="atLeast"/>
        <w:rPr>
          <w:rFonts w:cs="Times New Roman"/>
          <w:b/>
          <w:bCs/>
          <w:sz w:val="24"/>
          <w:szCs w:val="24"/>
        </w:rPr>
      </w:pPr>
      <w:r w:rsidRPr="004B5231">
        <w:rPr>
          <w:rFonts w:cs="Times New Roman"/>
          <w:b/>
          <w:bCs/>
          <w:sz w:val="24"/>
          <w:szCs w:val="24"/>
        </w:rPr>
        <w:t>Přehled s</w:t>
      </w:r>
      <w:r w:rsidRPr="004B5231">
        <w:rPr>
          <w:rFonts w:cs="Times New Roman"/>
          <w:b/>
          <w:bCs/>
          <w:sz w:val="24"/>
          <w:szCs w:val="24"/>
        </w:rPr>
        <w:t>ubjekt</w:t>
      </w:r>
      <w:r w:rsidRPr="004B5231">
        <w:rPr>
          <w:rFonts w:cs="Times New Roman"/>
          <w:b/>
          <w:bCs/>
          <w:sz w:val="24"/>
          <w:szCs w:val="24"/>
        </w:rPr>
        <w:t>ů</w:t>
      </w:r>
    </w:p>
    <w:p w:rsidR="00162AED" w:rsidRPr="004B5231" w:rsidP="00CB4925">
      <w:pPr>
        <w:spacing w:before="120" w:after="120" w:line="23" w:lineRule="atLeast"/>
        <w:jc w:val="both"/>
        <w:rPr>
          <w:rFonts w:cs="Times New Roman"/>
          <w:sz w:val="24"/>
          <w:szCs w:val="24"/>
        </w:rPr>
      </w:pPr>
      <w:r w:rsidRPr="004B5231">
        <w:rPr>
          <w:rFonts w:cs="Times New Roman"/>
          <w:sz w:val="24"/>
          <w:szCs w:val="24"/>
        </w:rPr>
        <w:t>Na konzultaci odpověděl</w:t>
      </w:r>
      <w:r w:rsidRPr="004B5231" w:rsidR="00A54DE2">
        <w:rPr>
          <w:rFonts w:cs="Times New Roman"/>
          <w:sz w:val="24"/>
          <w:szCs w:val="24"/>
        </w:rPr>
        <w:t>y</w:t>
      </w:r>
      <w:r w:rsidRPr="004B5231">
        <w:rPr>
          <w:rFonts w:cs="Times New Roman"/>
          <w:sz w:val="24"/>
          <w:szCs w:val="24"/>
        </w:rPr>
        <w:t xml:space="preserve"> G</w:t>
      </w:r>
      <w:r w:rsidRPr="004B5231" w:rsidR="009A1472">
        <w:rPr>
          <w:rFonts w:cs="Times New Roman"/>
          <w:sz w:val="24"/>
          <w:szCs w:val="24"/>
        </w:rPr>
        <w:t>SFT</w:t>
      </w:r>
      <w:r w:rsidRPr="004B5231">
        <w:rPr>
          <w:rFonts w:cs="Times New Roman"/>
          <w:sz w:val="24"/>
          <w:szCs w:val="24"/>
        </w:rPr>
        <w:t>, 8 bank (prostřednictvím asociac</w:t>
      </w:r>
      <w:r w:rsidRPr="004B5231" w:rsidR="00274101">
        <w:rPr>
          <w:rFonts w:cs="Times New Roman"/>
          <w:sz w:val="24"/>
          <w:szCs w:val="24"/>
        </w:rPr>
        <w:t>e</w:t>
      </w:r>
      <w:r w:rsidRPr="004B5231">
        <w:rPr>
          <w:rFonts w:cs="Times New Roman"/>
          <w:sz w:val="24"/>
          <w:szCs w:val="24"/>
        </w:rPr>
        <w:t xml:space="preserve">), 2 asociace na trhu družstevních záložen a </w:t>
      </w:r>
      <w:r w:rsidRPr="004B5231" w:rsidR="006665B7">
        <w:rPr>
          <w:rFonts w:cs="Times New Roman"/>
          <w:sz w:val="24"/>
          <w:szCs w:val="24"/>
        </w:rPr>
        <w:t>2</w:t>
      </w:r>
      <w:r w:rsidRPr="004B5231">
        <w:rPr>
          <w:rFonts w:cs="Times New Roman"/>
          <w:sz w:val="24"/>
          <w:szCs w:val="24"/>
        </w:rPr>
        <w:t xml:space="preserve"> družstevní záložn</w:t>
      </w:r>
      <w:r w:rsidRPr="004B5231" w:rsidR="006665B7">
        <w:rPr>
          <w:rFonts w:cs="Times New Roman"/>
          <w:sz w:val="24"/>
          <w:szCs w:val="24"/>
        </w:rPr>
        <w:t>y</w:t>
      </w:r>
      <w:r w:rsidRPr="004B5231" w:rsidR="009A1472">
        <w:rPr>
          <w:rFonts w:cs="Times New Roman"/>
          <w:sz w:val="24"/>
          <w:szCs w:val="24"/>
        </w:rPr>
        <w:t>, 3 platební instituce a </w:t>
      </w:r>
      <w:r w:rsidRPr="004B5231" w:rsidR="00FF504B">
        <w:rPr>
          <w:rFonts w:cs="Times New Roman"/>
          <w:sz w:val="24"/>
          <w:szCs w:val="24"/>
        </w:rPr>
        <w:t>1</w:t>
      </w:r>
      <w:r w:rsidRPr="004B5231" w:rsidR="009A1472">
        <w:rPr>
          <w:rFonts w:cs="Times New Roman"/>
          <w:sz w:val="24"/>
          <w:szCs w:val="24"/>
        </w:rPr>
        <w:t> </w:t>
      </w:r>
      <w:r w:rsidRPr="004B5231">
        <w:rPr>
          <w:rFonts w:cs="Times New Roman"/>
          <w:sz w:val="24"/>
          <w:szCs w:val="24"/>
        </w:rPr>
        <w:t>asociace působící na trhu platebních institucí, 5 poskytovatelů platebních služeb malého rozsahu a 1 vydavatel elektronických peněz malého rozsahu.</w:t>
      </w:r>
    </w:p>
    <w:p w:rsidR="0073461D" w:rsidRPr="004B5231" w:rsidP="00CB4925">
      <w:pPr>
        <w:autoSpaceDE w:val="0"/>
        <w:autoSpaceDN w:val="0"/>
        <w:adjustRightInd w:val="0"/>
        <w:spacing w:before="120" w:after="120" w:line="23" w:lineRule="atLeast"/>
        <w:rPr>
          <w:rFonts w:cs="Times New Roman"/>
          <w:b/>
          <w:bCs/>
          <w:sz w:val="24"/>
          <w:szCs w:val="24"/>
        </w:rPr>
      </w:pPr>
      <w:r w:rsidRPr="004B5231">
        <w:rPr>
          <w:rFonts w:cs="Times New Roman"/>
          <w:b/>
          <w:bCs/>
          <w:sz w:val="24"/>
          <w:szCs w:val="24"/>
        </w:rPr>
        <w:t>Odpovědi</w:t>
      </w:r>
    </w:p>
    <w:p w:rsidR="00436748" w:rsidRPr="004B5231" w:rsidP="00CB4925">
      <w:pPr>
        <w:spacing w:before="120" w:after="120" w:line="23" w:lineRule="atLeast"/>
        <w:jc w:val="both"/>
        <w:rPr>
          <w:rFonts w:cs="Times New Roman"/>
          <w:b/>
          <w:bCs/>
          <w:sz w:val="24"/>
          <w:szCs w:val="24"/>
        </w:rPr>
      </w:pPr>
      <w:r w:rsidRPr="004B5231">
        <w:rPr>
          <w:rFonts w:cs="Times New Roman"/>
          <w:sz w:val="24"/>
          <w:szCs w:val="24"/>
        </w:rPr>
        <w:t>Vzhledem k tomu, že odpovědi na otázky uvedené v konzultaci</w:t>
      </w:r>
      <w:r>
        <w:rPr>
          <w:rStyle w:val="FootnoteReference"/>
          <w:rFonts w:cs="Times New Roman"/>
          <w:sz w:val="24"/>
          <w:szCs w:val="24"/>
        </w:rPr>
        <w:footnoteReference w:id="2"/>
      </w:r>
      <w:r w:rsidRPr="004B5231">
        <w:rPr>
          <w:rFonts w:cs="Times New Roman"/>
          <w:sz w:val="24"/>
          <w:szCs w:val="24"/>
        </w:rPr>
        <w:t xml:space="preserve"> </w:t>
      </w:r>
      <w:r w:rsidRPr="004B5231" w:rsidR="000617A5">
        <w:rPr>
          <w:rFonts w:cs="Times New Roman"/>
          <w:sz w:val="24"/>
          <w:szCs w:val="24"/>
        </w:rPr>
        <w:t>byly</w:t>
      </w:r>
      <w:r w:rsidRPr="004B5231" w:rsidR="00E84374">
        <w:rPr>
          <w:rFonts w:cs="Times New Roman"/>
          <w:sz w:val="24"/>
          <w:szCs w:val="24"/>
        </w:rPr>
        <w:t xml:space="preserve"> vzájemně provázané a </w:t>
      </w:r>
      <w:r w:rsidRPr="004B5231" w:rsidR="00A54DE2">
        <w:rPr>
          <w:rFonts w:cs="Times New Roman"/>
          <w:sz w:val="24"/>
          <w:szCs w:val="24"/>
        </w:rPr>
        <w:t>ne všichni respondenti odpověděli na všechny otázky, bylo</w:t>
      </w:r>
      <w:r w:rsidRPr="004B5231" w:rsidR="000617A5">
        <w:rPr>
          <w:rFonts w:cs="Times New Roman"/>
          <w:sz w:val="24"/>
          <w:szCs w:val="24"/>
        </w:rPr>
        <w:t xml:space="preserve"> provedeno vyhodnocení </w:t>
      </w:r>
      <w:r w:rsidRPr="004B5231" w:rsidR="000617A5">
        <w:rPr>
          <w:rFonts w:cs="Times New Roman"/>
          <w:sz w:val="24"/>
          <w:szCs w:val="24"/>
        </w:rPr>
        <w:t xml:space="preserve">odpovědí v jejich komplexnosti a zejména ve vztahu k odpovědi na otázku č. 2, kde jsou uvedeny varianty, které subjekty preferují. Procentuální vyhodnocení </w:t>
      </w:r>
      <w:r w:rsidRPr="004B5231" w:rsidR="00D85C08">
        <w:rPr>
          <w:rFonts w:cs="Times New Roman"/>
          <w:sz w:val="24"/>
          <w:szCs w:val="24"/>
        </w:rPr>
        <w:t>bylo</w:t>
      </w:r>
      <w:r w:rsidRPr="004B5231" w:rsidR="000617A5">
        <w:rPr>
          <w:rFonts w:cs="Times New Roman"/>
          <w:sz w:val="24"/>
          <w:szCs w:val="24"/>
        </w:rPr>
        <w:t xml:space="preserve"> provedeno podle preferované varianty.</w:t>
      </w:r>
    </w:p>
    <w:p w:rsidR="00162054" w:rsidRPr="004B5231" w:rsidP="00CB4925">
      <w:pPr>
        <w:spacing w:before="120" w:after="120" w:line="23" w:lineRule="atLeast"/>
        <w:jc w:val="both"/>
        <w:rPr>
          <w:rFonts w:cs="Times New Roman"/>
          <w:sz w:val="24"/>
          <w:szCs w:val="24"/>
        </w:rPr>
      </w:pPr>
      <w:r w:rsidRPr="004B5231">
        <w:rPr>
          <w:noProof/>
          <w:lang w:eastAsia="cs-CZ"/>
        </w:rPr>
        <w:drawing>
          <wp:anchor distT="0" distB="0" distL="114300" distR="114300" simplePos="0" relativeHeight="251658240" behindDoc="1" locked="0" layoutInCell="1" allowOverlap="1">
            <wp:simplePos x="0" y="0"/>
            <wp:positionH relativeFrom="column">
              <wp:posOffset>-1905</wp:posOffset>
            </wp:positionH>
            <wp:positionV relativeFrom="paragraph">
              <wp:posOffset>1507490</wp:posOffset>
            </wp:positionV>
            <wp:extent cx="5796280" cy="2743200"/>
            <wp:effectExtent l="0" t="0" r="13970" b="19050"/>
            <wp:wrapTight wrapText="bothSides">
              <wp:wrapPolygon>
                <wp:start x="0" y="0"/>
                <wp:lineTo x="0" y="21600"/>
                <wp:lineTo x="21581" y="21600"/>
                <wp:lineTo x="21581" y="0"/>
                <wp:lineTo x="0" y="0"/>
              </wp:wrapPolygon>
            </wp:wrapTight>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4B5231" w:rsidR="0073461D">
        <w:rPr>
          <w:rFonts w:cs="Times New Roman"/>
          <w:sz w:val="24"/>
          <w:szCs w:val="24"/>
        </w:rPr>
        <w:t>V konzultaci odpovědělo celkem 2</w:t>
      </w:r>
      <w:r w:rsidRPr="004B5231" w:rsidR="00FF504B">
        <w:rPr>
          <w:rFonts w:cs="Times New Roman"/>
          <w:sz w:val="24"/>
          <w:szCs w:val="24"/>
        </w:rPr>
        <w:t>2</w:t>
      </w:r>
      <w:r w:rsidRPr="004B5231" w:rsidR="0073461D">
        <w:rPr>
          <w:rFonts w:cs="Times New Roman"/>
          <w:sz w:val="24"/>
          <w:szCs w:val="24"/>
        </w:rPr>
        <w:t xml:space="preserve"> subjektů, z toho 9 subjektů bylo pro zachování stávajícího stavu</w:t>
      </w:r>
      <w:r w:rsidRPr="004B5231" w:rsidR="006665B7">
        <w:rPr>
          <w:rFonts w:cs="Times New Roman"/>
          <w:sz w:val="24"/>
          <w:szCs w:val="24"/>
        </w:rPr>
        <w:t>,</w:t>
      </w:r>
      <w:r w:rsidRPr="004B5231" w:rsidR="00081F48">
        <w:rPr>
          <w:rFonts w:cs="Times New Roman"/>
          <w:sz w:val="24"/>
          <w:szCs w:val="24"/>
        </w:rPr>
        <w:t xml:space="preserve"> tj. pro variantu A)</w:t>
      </w:r>
      <w:r w:rsidRPr="004B5231" w:rsidR="0073461D">
        <w:rPr>
          <w:rFonts w:cs="Times New Roman"/>
          <w:sz w:val="24"/>
          <w:szCs w:val="24"/>
        </w:rPr>
        <w:t xml:space="preserve">, </w:t>
      </w:r>
      <w:r w:rsidRPr="004B5231" w:rsidR="00274101">
        <w:rPr>
          <w:rFonts w:cs="Times New Roman"/>
          <w:sz w:val="24"/>
          <w:szCs w:val="24"/>
        </w:rPr>
        <w:t>3</w:t>
      </w:r>
      <w:r w:rsidRPr="004B5231" w:rsidR="0073461D">
        <w:rPr>
          <w:rFonts w:cs="Times New Roman"/>
          <w:sz w:val="24"/>
          <w:szCs w:val="24"/>
        </w:rPr>
        <w:t xml:space="preserve"> subjekty pro dobrovolné</w:t>
      </w:r>
      <w:r w:rsidRPr="004B5231" w:rsidR="00081F48">
        <w:rPr>
          <w:rFonts w:cs="Times New Roman"/>
          <w:sz w:val="24"/>
          <w:szCs w:val="24"/>
        </w:rPr>
        <w:t xml:space="preserve"> pojištění peněžních prostředků klientů PI ulože</w:t>
      </w:r>
      <w:r w:rsidRPr="004B5231" w:rsidR="00623B4C">
        <w:rPr>
          <w:rFonts w:cs="Times New Roman"/>
          <w:sz w:val="24"/>
          <w:szCs w:val="24"/>
        </w:rPr>
        <w:t>n</w:t>
      </w:r>
      <w:r w:rsidRPr="004B5231" w:rsidR="00D3131F">
        <w:rPr>
          <w:rFonts w:cs="Times New Roman"/>
          <w:sz w:val="24"/>
          <w:szCs w:val="24"/>
        </w:rPr>
        <w:t>ých</w:t>
      </w:r>
      <w:r w:rsidRPr="004B5231" w:rsidR="00081F48">
        <w:rPr>
          <w:rFonts w:cs="Times New Roman"/>
          <w:sz w:val="24"/>
          <w:szCs w:val="24"/>
        </w:rPr>
        <w:t xml:space="preserve"> u banky</w:t>
      </w:r>
      <w:r w:rsidRPr="004B5231" w:rsidR="006665B7">
        <w:rPr>
          <w:rFonts w:cs="Times New Roman"/>
          <w:sz w:val="24"/>
          <w:szCs w:val="24"/>
        </w:rPr>
        <w:t>, tj. pro variantu B)</w:t>
      </w:r>
      <w:r w:rsidRPr="004B5231" w:rsidR="0073461D">
        <w:rPr>
          <w:rFonts w:cs="Times New Roman"/>
          <w:sz w:val="24"/>
          <w:szCs w:val="24"/>
        </w:rPr>
        <w:t xml:space="preserve"> a </w:t>
      </w:r>
      <w:r w:rsidRPr="004B5231" w:rsidR="003A062B">
        <w:rPr>
          <w:rFonts w:cs="Times New Roman"/>
          <w:sz w:val="24"/>
          <w:szCs w:val="24"/>
        </w:rPr>
        <w:t>9</w:t>
      </w:r>
      <w:r w:rsidRPr="004B5231" w:rsidR="0073461D">
        <w:rPr>
          <w:rFonts w:cs="Times New Roman"/>
          <w:sz w:val="24"/>
          <w:szCs w:val="24"/>
        </w:rPr>
        <w:t xml:space="preserve"> subjektů pro vyloučení </w:t>
      </w:r>
      <w:r w:rsidRPr="004B5231" w:rsidR="00D85C08">
        <w:rPr>
          <w:rFonts w:cs="Times New Roman"/>
          <w:sz w:val="24"/>
          <w:szCs w:val="24"/>
        </w:rPr>
        <w:t xml:space="preserve">pojištění </w:t>
      </w:r>
      <w:r w:rsidRPr="004B5231" w:rsidR="00081F48">
        <w:rPr>
          <w:rFonts w:cs="Times New Roman"/>
          <w:sz w:val="24"/>
          <w:szCs w:val="24"/>
        </w:rPr>
        <w:t>peněžních prostředků klientů PI uložen</w:t>
      </w:r>
      <w:r w:rsidRPr="004B5231" w:rsidR="00D85C08">
        <w:rPr>
          <w:rFonts w:cs="Times New Roman"/>
          <w:sz w:val="24"/>
          <w:szCs w:val="24"/>
        </w:rPr>
        <w:t>ých</w:t>
      </w:r>
      <w:r w:rsidRPr="004B5231" w:rsidR="00081F48">
        <w:rPr>
          <w:rFonts w:cs="Times New Roman"/>
          <w:sz w:val="24"/>
          <w:szCs w:val="24"/>
        </w:rPr>
        <w:t xml:space="preserve"> u banky</w:t>
      </w:r>
      <w:r w:rsidRPr="004B5231" w:rsidR="006665B7">
        <w:rPr>
          <w:rFonts w:cs="Times New Roman"/>
          <w:sz w:val="24"/>
          <w:szCs w:val="24"/>
        </w:rPr>
        <w:t>, tj. pro variantu C).</w:t>
      </w:r>
      <w:r w:rsidRPr="004B5231" w:rsidR="0073461D">
        <w:rPr>
          <w:rFonts w:cs="Times New Roman"/>
          <w:sz w:val="24"/>
          <w:szCs w:val="24"/>
        </w:rPr>
        <w:t xml:space="preserve"> </w:t>
      </w:r>
      <w:r w:rsidRPr="004B5231" w:rsidR="00D41054">
        <w:rPr>
          <w:rFonts w:cs="Times New Roman"/>
          <w:sz w:val="24"/>
          <w:szCs w:val="24"/>
        </w:rPr>
        <w:t xml:space="preserve">Dva subjekty </w:t>
      </w:r>
      <w:r w:rsidRPr="004B5231">
        <w:rPr>
          <w:rFonts w:cs="Times New Roman"/>
          <w:sz w:val="24"/>
          <w:szCs w:val="24"/>
        </w:rPr>
        <w:t>pak preferoval</w:t>
      </w:r>
      <w:r w:rsidRPr="004B5231" w:rsidR="00D85C08">
        <w:rPr>
          <w:rFonts w:cs="Times New Roman"/>
          <w:sz w:val="24"/>
          <w:szCs w:val="24"/>
        </w:rPr>
        <w:t>y</w:t>
      </w:r>
      <w:r w:rsidRPr="004B5231">
        <w:rPr>
          <w:rFonts w:cs="Times New Roman"/>
          <w:sz w:val="24"/>
          <w:szCs w:val="24"/>
        </w:rPr>
        <w:t xml:space="preserve"> další</w:t>
      </w:r>
      <w:r w:rsidRPr="004B5231" w:rsidR="00234BF5">
        <w:rPr>
          <w:rFonts w:cs="Times New Roman"/>
          <w:sz w:val="24"/>
          <w:szCs w:val="24"/>
        </w:rPr>
        <w:t>,</w:t>
      </w:r>
      <w:r w:rsidRPr="004B5231">
        <w:rPr>
          <w:rFonts w:cs="Times New Roman"/>
          <w:sz w:val="24"/>
          <w:szCs w:val="24"/>
        </w:rPr>
        <w:t xml:space="preserve"> </w:t>
      </w:r>
      <w:r w:rsidRPr="004B5231" w:rsidR="00234BF5">
        <w:rPr>
          <w:rFonts w:cs="Times New Roman"/>
          <w:sz w:val="24"/>
          <w:szCs w:val="24"/>
        </w:rPr>
        <w:t xml:space="preserve">jimi navrženou </w:t>
      </w:r>
      <w:r w:rsidRPr="004B5231">
        <w:rPr>
          <w:rFonts w:cs="Times New Roman"/>
          <w:sz w:val="24"/>
          <w:szCs w:val="24"/>
        </w:rPr>
        <w:t>variantu, která však není v souladu s regulací danou směrnicí Evropského parlamentu a Rady 2014/49/EU ze dne 16. dubna 2014 o systémech pojištění vkladů.</w:t>
      </w:r>
      <w:r w:rsidRPr="004B5231" w:rsidR="00493548">
        <w:rPr>
          <w:rFonts w:cs="Times New Roman"/>
          <w:sz w:val="24"/>
          <w:szCs w:val="24"/>
        </w:rPr>
        <w:t xml:space="preserve"> Poměr odpovědí je zobrazen v grafu 1.</w:t>
      </w:r>
    </w:p>
    <w:p w:rsidR="00274101" w:rsidRPr="004B5231" w:rsidP="00CB4925">
      <w:pPr>
        <w:spacing w:before="120" w:after="120" w:line="23" w:lineRule="atLeast"/>
        <w:jc w:val="both"/>
        <w:rPr>
          <w:rFonts w:cs="Times New Roman"/>
          <w:sz w:val="24"/>
          <w:szCs w:val="24"/>
        </w:rPr>
      </w:pPr>
      <w:r w:rsidRPr="004B5231">
        <w:rPr>
          <w:rFonts w:cs="Times New Roman"/>
          <w:sz w:val="24"/>
          <w:szCs w:val="24"/>
        </w:rPr>
        <w:t>Pro zachování stávajícího stavu, tj. pro pojištění peněžních prostředků klientů PI uložen</w:t>
      </w:r>
      <w:r w:rsidRPr="004B5231" w:rsidR="00B159EE">
        <w:rPr>
          <w:rFonts w:cs="Times New Roman"/>
          <w:sz w:val="24"/>
          <w:szCs w:val="24"/>
        </w:rPr>
        <w:t>ých</w:t>
      </w:r>
      <w:r w:rsidRPr="004B5231" w:rsidR="00FB02C6">
        <w:rPr>
          <w:rFonts w:cs="Times New Roman"/>
          <w:sz w:val="24"/>
          <w:szCs w:val="24"/>
        </w:rPr>
        <w:t xml:space="preserve"> u </w:t>
      </w:r>
      <w:r w:rsidRPr="004B5231">
        <w:rPr>
          <w:rFonts w:cs="Times New Roman"/>
          <w:sz w:val="24"/>
          <w:szCs w:val="24"/>
        </w:rPr>
        <w:t xml:space="preserve">banky </w:t>
      </w:r>
      <w:r w:rsidRPr="004B5231" w:rsidR="00B159EE">
        <w:rPr>
          <w:rFonts w:cs="Times New Roman"/>
          <w:sz w:val="24"/>
          <w:szCs w:val="24"/>
        </w:rPr>
        <w:t xml:space="preserve">byla 1 banka, </w:t>
      </w:r>
      <w:r w:rsidRPr="004B5231" w:rsidR="00B11017">
        <w:rPr>
          <w:rFonts w:cs="Times New Roman"/>
          <w:sz w:val="24"/>
          <w:szCs w:val="24"/>
        </w:rPr>
        <w:t xml:space="preserve">1 družstevní záložna, </w:t>
      </w:r>
      <w:r w:rsidRPr="004B5231" w:rsidR="00B159EE">
        <w:rPr>
          <w:rFonts w:cs="Times New Roman"/>
          <w:sz w:val="24"/>
          <w:szCs w:val="24"/>
        </w:rPr>
        <w:t xml:space="preserve">2 platební instituce, 4 poskytovatelé platebních služeb malého rozsahu a 1 vydavatel </w:t>
      </w:r>
      <w:r w:rsidRPr="004B5231" w:rsidR="0073461D">
        <w:rPr>
          <w:rFonts w:cs="Times New Roman"/>
          <w:sz w:val="24"/>
          <w:szCs w:val="24"/>
        </w:rPr>
        <w:t>elektronických peněz malého</w:t>
      </w:r>
      <w:r w:rsidRPr="004B5231" w:rsidR="00B11017">
        <w:rPr>
          <w:rFonts w:cs="Times New Roman"/>
          <w:sz w:val="24"/>
          <w:szCs w:val="24"/>
        </w:rPr>
        <w:t xml:space="preserve"> rozsahu. PI argumentoval</w:t>
      </w:r>
      <w:r w:rsidRPr="004B5231" w:rsidR="00D85C08">
        <w:rPr>
          <w:rFonts w:cs="Times New Roman"/>
          <w:sz w:val="24"/>
          <w:szCs w:val="24"/>
        </w:rPr>
        <w:t>y</w:t>
      </w:r>
      <w:r w:rsidRPr="004B5231" w:rsidR="00B11017">
        <w:rPr>
          <w:rFonts w:cs="Times New Roman"/>
          <w:sz w:val="24"/>
          <w:szCs w:val="24"/>
        </w:rPr>
        <w:t xml:space="preserve"> především</w:t>
      </w:r>
      <w:r w:rsidRPr="004B5231" w:rsidR="0073461D">
        <w:rPr>
          <w:rFonts w:cs="Times New Roman"/>
          <w:sz w:val="24"/>
          <w:szCs w:val="24"/>
        </w:rPr>
        <w:t xml:space="preserve"> nezbytností zachovat </w:t>
      </w:r>
      <w:r w:rsidRPr="004B5231" w:rsidR="00B159EE">
        <w:rPr>
          <w:rFonts w:cs="Times New Roman"/>
          <w:sz w:val="24"/>
          <w:szCs w:val="24"/>
        </w:rPr>
        <w:t xml:space="preserve">stejné podmínky pro </w:t>
      </w:r>
      <w:r w:rsidRPr="004B5231" w:rsidR="004A766C">
        <w:rPr>
          <w:rFonts w:cs="Times New Roman"/>
          <w:sz w:val="24"/>
          <w:szCs w:val="24"/>
        </w:rPr>
        <w:t>PI</w:t>
      </w:r>
      <w:r w:rsidRPr="004B5231" w:rsidR="00B159EE">
        <w:rPr>
          <w:rFonts w:cs="Times New Roman"/>
          <w:sz w:val="24"/>
          <w:szCs w:val="24"/>
        </w:rPr>
        <w:t>, jaké mají úvěrové instituce,</w:t>
      </w:r>
      <w:r w:rsidRPr="004B5231" w:rsidR="0073461D">
        <w:rPr>
          <w:rFonts w:cs="Times New Roman"/>
          <w:sz w:val="24"/>
          <w:szCs w:val="24"/>
        </w:rPr>
        <w:t xml:space="preserve"> jejichž prostředky držené pro klienty jsou pojištěné</w:t>
      </w:r>
      <w:r w:rsidRPr="004B5231" w:rsidR="004A766C">
        <w:rPr>
          <w:rFonts w:cs="Times New Roman"/>
          <w:sz w:val="24"/>
          <w:szCs w:val="24"/>
        </w:rPr>
        <w:t xml:space="preserve">, </w:t>
      </w:r>
      <w:r w:rsidRPr="004B5231" w:rsidR="00096376">
        <w:rPr>
          <w:rFonts w:cs="Times New Roman"/>
          <w:sz w:val="24"/>
          <w:szCs w:val="24"/>
        </w:rPr>
        <w:t xml:space="preserve">dále </w:t>
      </w:r>
      <w:r w:rsidRPr="004B5231" w:rsidR="004A766C">
        <w:rPr>
          <w:rFonts w:cs="Times New Roman"/>
          <w:sz w:val="24"/>
          <w:szCs w:val="24"/>
        </w:rPr>
        <w:t>tím, že se již stávající úpravě přizpůsobily a</w:t>
      </w:r>
      <w:r w:rsidRPr="004B5231" w:rsidR="0040438A">
        <w:rPr>
          <w:rFonts w:cs="Times New Roman"/>
          <w:sz w:val="24"/>
          <w:szCs w:val="24"/>
        </w:rPr>
        <w:t> </w:t>
      </w:r>
      <w:r w:rsidRPr="004B5231" w:rsidR="004A766C">
        <w:rPr>
          <w:rFonts w:cs="Times New Roman"/>
          <w:sz w:val="24"/>
          <w:szCs w:val="24"/>
        </w:rPr>
        <w:t>ta jim nečiní žádný významnější problém</w:t>
      </w:r>
      <w:r w:rsidRPr="004B5231" w:rsidR="00D85C08">
        <w:rPr>
          <w:rFonts w:cs="Times New Roman"/>
          <w:sz w:val="24"/>
          <w:szCs w:val="24"/>
        </w:rPr>
        <w:t>,</w:t>
      </w:r>
      <w:r w:rsidRPr="004B5231" w:rsidR="004A766C">
        <w:rPr>
          <w:rFonts w:cs="Times New Roman"/>
          <w:sz w:val="24"/>
          <w:szCs w:val="24"/>
        </w:rPr>
        <w:t xml:space="preserve"> a </w:t>
      </w:r>
      <w:r w:rsidRPr="004B5231" w:rsidR="00D85C08">
        <w:rPr>
          <w:rFonts w:cs="Times New Roman"/>
          <w:sz w:val="24"/>
          <w:szCs w:val="24"/>
        </w:rPr>
        <w:t xml:space="preserve">že </w:t>
      </w:r>
      <w:r w:rsidRPr="004B5231" w:rsidR="004A766C">
        <w:rPr>
          <w:rFonts w:cs="Times New Roman"/>
          <w:sz w:val="24"/>
          <w:szCs w:val="24"/>
        </w:rPr>
        <w:t xml:space="preserve">se změnou by byly spojeny další náklady. Dva posledně </w:t>
      </w:r>
      <w:r w:rsidRPr="004B5231" w:rsidR="00B922E1">
        <w:rPr>
          <w:rFonts w:cs="Times New Roman"/>
          <w:sz w:val="24"/>
          <w:szCs w:val="24"/>
        </w:rPr>
        <w:t xml:space="preserve">zmíněné </w:t>
      </w:r>
      <w:r w:rsidRPr="004B5231" w:rsidR="004A766C">
        <w:rPr>
          <w:rFonts w:cs="Times New Roman"/>
          <w:sz w:val="24"/>
          <w:szCs w:val="24"/>
        </w:rPr>
        <w:t xml:space="preserve">argumenty </w:t>
      </w:r>
      <w:r w:rsidRPr="004B5231" w:rsidR="00B922E1">
        <w:rPr>
          <w:rFonts w:cs="Times New Roman"/>
          <w:sz w:val="24"/>
          <w:szCs w:val="24"/>
        </w:rPr>
        <w:t xml:space="preserve">uvedla </w:t>
      </w:r>
      <w:r w:rsidRPr="004B5231" w:rsidR="004A766C">
        <w:rPr>
          <w:rFonts w:cs="Times New Roman"/>
          <w:sz w:val="24"/>
          <w:szCs w:val="24"/>
        </w:rPr>
        <w:t>i b</w:t>
      </w:r>
      <w:r w:rsidRPr="004B5231" w:rsidR="00B11017">
        <w:rPr>
          <w:rFonts w:cs="Times New Roman"/>
          <w:sz w:val="24"/>
          <w:szCs w:val="24"/>
        </w:rPr>
        <w:t xml:space="preserve">anka </w:t>
      </w:r>
      <w:r w:rsidRPr="004B5231" w:rsidR="004A766C">
        <w:rPr>
          <w:rFonts w:cs="Times New Roman"/>
          <w:sz w:val="24"/>
          <w:szCs w:val="24"/>
        </w:rPr>
        <w:t xml:space="preserve">a </w:t>
      </w:r>
      <w:r w:rsidRPr="004B5231" w:rsidR="00B11017">
        <w:rPr>
          <w:rFonts w:cs="Times New Roman"/>
          <w:sz w:val="24"/>
          <w:szCs w:val="24"/>
        </w:rPr>
        <w:t>družstevní záložna</w:t>
      </w:r>
      <w:r w:rsidRPr="004B5231" w:rsidR="004A766C">
        <w:rPr>
          <w:rFonts w:cs="Times New Roman"/>
          <w:sz w:val="24"/>
          <w:szCs w:val="24"/>
        </w:rPr>
        <w:t>.</w:t>
      </w:r>
      <w:r w:rsidRPr="004B5231" w:rsidR="00B11017">
        <w:rPr>
          <w:rFonts w:cs="Times New Roman"/>
          <w:sz w:val="24"/>
          <w:szCs w:val="24"/>
        </w:rPr>
        <w:t xml:space="preserve"> </w:t>
      </w:r>
    </w:p>
    <w:p w:rsidR="00274101" w:rsidRPr="004B5231" w:rsidP="00CB4925">
      <w:pPr>
        <w:spacing w:before="120" w:after="120" w:line="23" w:lineRule="atLeast"/>
        <w:jc w:val="both"/>
        <w:rPr>
          <w:rFonts w:cs="Times New Roman"/>
          <w:sz w:val="24"/>
          <w:szCs w:val="24"/>
        </w:rPr>
      </w:pPr>
      <w:r w:rsidRPr="004B5231">
        <w:rPr>
          <w:rFonts w:cs="Times New Roman"/>
          <w:sz w:val="24"/>
          <w:szCs w:val="24"/>
        </w:rPr>
        <w:t>Pro dobrovolné pojištění peněžních prostředků klientů PI uložených u banky byla 1</w:t>
      </w:r>
      <w:r w:rsidRPr="004B5231" w:rsidR="00FB02C6">
        <w:rPr>
          <w:rFonts w:cs="Times New Roman"/>
          <w:sz w:val="24"/>
          <w:szCs w:val="24"/>
        </w:rPr>
        <w:t> </w:t>
      </w:r>
      <w:r w:rsidRPr="004B5231">
        <w:rPr>
          <w:rFonts w:cs="Times New Roman"/>
          <w:sz w:val="24"/>
          <w:szCs w:val="24"/>
        </w:rPr>
        <w:t xml:space="preserve">družstevní záložna, </w:t>
      </w:r>
      <w:r w:rsidRPr="004B5231" w:rsidR="00FF504B">
        <w:rPr>
          <w:rFonts w:cs="Times New Roman"/>
          <w:sz w:val="24"/>
          <w:szCs w:val="24"/>
        </w:rPr>
        <w:t>1</w:t>
      </w:r>
      <w:r w:rsidRPr="004B5231">
        <w:rPr>
          <w:rFonts w:cs="Times New Roman"/>
          <w:sz w:val="24"/>
          <w:szCs w:val="24"/>
        </w:rPr>
        <w:t xml:space="preserve"> platební instituce</w:t>
      </w:r>
      <w:r w:rsidRPr="004B5231">
        <w:rPr>
          <w:rFonts w:cs="Times New Roman"/>
          <w:sz w:val="24"/>
          <w:szCs w:val="24"/>
        </w:rPr>
        <w:t xml:space="preserve"> a</w:t>
      </w:r>
      <w:r w:rsidRPr="004B5231">
        <w:rPr>
          <w:rFonts w:cs="Times New Roman"/>
          <w:sz w:val="24"/>
          <w:szCs w:val="24"/>
        </w:rPr>
        <w:t xml:space="preserve"> </w:t>
      </w:r>
      <w:r w:rsidRPr="004B5231" w:rsidR="00FF504B">
        <w:rPr>
          <w:rFonts w:cs="Times New Roman"/>
          <w:sz w:val="24"/>
          <w:szCs w:val="24"/>
        </w:rPr>
        <w:t>1</w:t>
      </w:r>
      <w:r w:rsidRPr="004B5231">
        <w:rPr>
          <w:rFonts w:cs="Times New Roman"/>
          <w:sz w:val="24"/>
          <w:szCs w:val="24"/>
        </w:rPr>
        <w:t xml:space="preserve"> asociace působící na trhu platebních institucí. Instituce argumentovaly zejména tím, že mají rozdílné obchodní modely a je proto vhodné nechat na nich, zda mají být vklady pojištěny nebo nikoliv. </w:t>
      </w:r>
      <w:r w:rsidRPr="004B5231" w:rsidR="00173562">
        <w:rPr>
          <w:rFonts w:cs="Times New Roman"/>
          <w:sz w:val="24"/>
          <w:szCs w:val="24"/>
        </w:rPr>
        <w:t xml:space="preserve">Proti této variantě se vyhranily zejména banky, které ji téměř jednomyslně odmítly a </w:t>
      </w:r>
      <w:r w:rsidRPr="004B5231" w:rsidR="00EC3B9A">
        <w:rPr>
          <w:rFonts w:cs="Times New Roman"/>
          <w:sz w:val="24"/>
          <w:szCs w:val="24"/>
        </w:rPr>
        <w:t>označ</w:t>
      </w:r>
      <w:r w:rsidRPr="004B5231" w:rsidR="00173562">
        <w:rPr>
          <w:rFonts w:cs="Times New Roman"/>
          <w:sz w:val="24"/>
          <w:szCs w:val="24"/>
        </w:rPr>
        <w:t>il</w:t>
      </w:r>
      <w:r w:rsidRPr="004B5231" w:rsidR="003954F9">
        <w:rPr>
          <w:rFonts w:cs="Times New Roman"/>
          <w:sz w:val="24"/>
          <w:szCs w:val="24"/>
        </w:rPr>
        <w:t>y</w:t>
      </w:r>
      <w:r w:rsidRPr="004B5231" w:rsidR="00EC3B9A">
        <w:rPr>
          <w:rFonts w:cs="Times New Roman"/>
          <w:sz w:val="24"/>
          <w:szCs w:val="24"/>
        </w:rPr>
        <w:t xml:space="preserve"> ji</w:t>
      </w:r>
      <w:r w:rsidRPr="004B5231" w:rsidR="00173562">
        <w:rPr>
          <w:rFonts w:cs="Times New Roman"/>
          <w:sz w:val="24"/>
          <w:szCs w:val="24"/>
        </w:rPr>
        <w:t xml:space="preserve"> jako nežádoucí </w:t>
      </w:r>
      <w:r w:rsidRPr="004B5231" w:rsidR="00EC3B9A">
        <w:rPr>
          <w:rFonts w:cs="Times New Roman"/>
          <w:sz w:val="24"/>
          <w:szCs w:val="24"/>
        </w:rPr>
        <w:t>alternativu</w:t>
      </w:r>
      <w:r w:rsidRPr="004B5231" w:rsidR="00173562">
        <w:rPr>
          <w:rFonts w:cs="Times New Roman"/>
          <w:sz w:val="24"/>
          <w:szCs w:val="24"/>
        </w:rPr>
        <w:t>. Problémem by podle nich byla větší komplexita systémů kvůli povinnosti evidovat</w:t>
      </w:r>
      <w:r w:rsidRPr="004B5231" w:rsidR="00096376">
        <w:rPr>
          <w:rFonts w:cs="Times New Roman"/>
          <w:sz w:val="24"/>
          <w:szCs w:val="24"/>
        </w:rPr>
        <w:t>,</w:t>
      </w:r>
      <w:r w:rsidRPr="004B5231" w:rsidR="00173562">
        <w:rPr>
          <w:rFonts w:cs="Times New Roman"/>
          <w:sz w:val="24"/>
          <w:szCs w:val="24"/>
        </w:rPr>
        <w:t xml:space="preserve"> zda jsou </w:t>
      </w:r>
      <w:r w:rsidRPr="004B5231" w:rsidR="00173562">
        <w:rPr>
          <w:rFonts w:cs="Times New Roman"/>
          <w:sz w:val="24"/>
          <w:szCs w:val="24"/>
        </w:rPr>
        <w:t>vklady PI pojištěné</w:t>
      </w:r>
      <w:r w:rsidRPr="004B5231" w:rsidR="00096376">
        <w:rPr>
          <w:rFonts w:cs="Times New Roman"/>
          <w:sz w:val="24"/>
          <w:szCs w:val="24"/>
        </w:rPr>
        <w:t>,</w:t>
      </w:r>
      <w:r w:rsidRPr="004B5231" w:rsidR="00173562">
        <w:rPr>
          <w:rFonts w:cs="Times New Roman"/>
          <w:sz w:val="24"/>
          <w:szCs w:val="24"/>
        </w:rPr>
        <w:t xml:space="preserve"> s tím, že konkurenční prostředí by stejně pravděpodobně vedlo k tomu, že by většina PI chtěla být nadále pojištěná. </w:t>
      </w:r>
    </w:p>
    <w:p w:rsidR="0073461D" w:rsidRPr="004B5231" w:rsidP="00CB4925">
      <w:pPr>
        <w:spacing w:before="120" w:after="120" w:line="23" w:lineRule="atLeast"/>
        <w:jc w:val="both"/>
        <w:rPr>
          <w:rFonts w:cs="Times New Roman"/>
          <w:sz w:val="24"/>
          <w:szCs w:val="24"/>
        </w:rPr>
      </w:pPr>
      <w:r w:rsidRPr="004B5231">
        <w:rPr>
          <w:noProof/>
          <w:lang w:eastAsia="cs-CZ"/>
        </w:rPr>
        <w:drawing>
          <wp:anchor distT="0" distB="0" distL="114300" distR="114300" simplePos="0" relativeHeight="251659264" behindDoc="1" locked="0" layoutInCell="1" allowOverlap="1">
            <wp:simplePos x="0" y="0"/>
            <wp:positionH relativeFrom="column">
              <wp:posOffset>-57785</wp:posOffset>
            </wp:positionH>
            <wp:positionV relativeFrom="paragraph">
              <wp:posOffset>1680210</wp:posOffset>
            </wp:positionV>
            <wp:extent cx="5835650" cy="3728720"/>
            <wp:effectExtent l="0" t="0" r="12700" b="24130"/>
            <wp:wrapTight wrapText="bothSides">
              <wp:wrapPolygon>
                <wp:start x="0" y="0"/>
                <wp:lineTo x="0" y="21629"/>
                <wp:lineTo x="21576" y="21629"/>
                <wp:lineTo x="21576" y="0"/>
                <wp:lineTo x="0" y="0"/>
              </wp:wrapPolygon>
            </wp:wrapTight>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4B5231">
        <w:rPr>
          <w:rFonts w:cs="Times New Roman"/>
          <w:sz w:val="24"/>
          <w:szCs w:val="24"/>
        </w:rPr>
        <w:t xml:space="preserve">Pro vyloučení </w:t>
      </w:r>
      <w:r w:rsidRPr="004B5231" w:rsidR="00274101">
        <w:rPr>
          <w:rFonts w:cs="Times New Roman"/>
          <w:sz w:val="24"/>
          <w:szCs w:val="24"/>
        </w:rPr>
        <w:t>peněžních prostředků klientů PI uložených u banky</w:t>
      </w:r>
      <w:r w:rsidRPr="004B5231" w:rsidR="009F7805">
        <w:rPr>
          <w:rFonts w:cs="Times New Roman"/>
          <w:sz w:val="24"/>
          <w:szCs w:val="24"/>
        </w:rPr>
        <w:t xml:space="preserve"> z pojištění bylo 5 bank, 2 </w:t>
      </w:r>
      <w:r w:rsidRPr="004B5231" w:rsidR="00274101">
        <w:rPr>
          <w:rFonts w:cs="Times New Roman"/>
          <w:sz w:val="24"/>
          <w:szCs w:val="24"/>
        </w:rPr>
        <w:t xml:space="preserve">asociace </w:t>
      </w:r>
      <w:r w:rsidRPr="004B5231" w:rsidR="00FF504B">
        <w:rPr>
          <w:rFonts w:cs="Times New Roman"/>
          <w:sz w:val="24"/>
          <w:szCs w:val="24"/>
        </w:rPr>
        <w:t xml:space="preserve">působící v sektoru </w:t>
      </w:r>
      <w:r w:rsidRPr="004B5231" w:rsidR="00274101">
        <w:rPr>
          <w:rFonts w:cs="Times New Roman"/>
          <w:sz w:val="24"/>
          <w:szCs w:val="24"/>
        </w:rPr>
        <w:t>družstevních záložen</w:t>
      </w:r>
      <w:r w:rsidRPr="004B5231" w:rsidR="00E42CDA">
        <w:rPr>
          <w:rFonts w:cs="Times New Roman"/>
          <w:sz w:val="24"/>
          <w:szCs w:val="24"/>
        </w:rPr>
        <w:t>,</w:t>
      </w:r>
      <w:r w:rsidRPr="004B5231" w:rsidR="00FF504B">
        <w:rPr>
          <w:rFonts w:cs="Times New Roman"/>
          <w:sz w:val="24"/>
          <w:szCs w:val="24"/>
        </w:rPr>
        <w:t xml:space="preserve"> 1 poskytovatel platebních služeb</w:t>
      </w:r>
      <w:r w:rsidRPr="004B5231" w:rsidR="00FF504B">
        <w:rPr>
          <w:color w:val="1F497D"/>
        </w:rPr>
        <w:t xml:space="preserve"> </w:t>
      </w:r>
      <w:r w:rsidRPr="004B5231" w:rsidR="00FF504B">
        <w:rPr>
          <w:rFonts w:cs="Times New Roman"/>
          <w:sz w:val="24"/>
          <w:szCs w:val="24"/>
        </w:rPr>
        <w:t>malého rozsahu</w:t>
      </w:r>
      <w:r w:rsidRPr="004B5231" w:rsidR="003A062B">
        <w:rPr>
          <w:rFonts w:cs="Times New Roman"/>
          <w:sz w:val="24"/>
          <w:szCs w:val="24"/>
        </w:rPr>
        <w:t xml:space="preserve"> a </w:t>
      </w:r>
      <w:r w:rsidRPr="004B5231" w:rsidR="0037766A">
        <w:rPr>
          <w:rFonts w:cs="Times New Roman"/>
          <w:sz w:val="24"/>
          <w:szCs w:val="24"/>
        </w:rPr>
        <w:t>GSFT</w:t>
      </w:r>
      <w:r w:rsidRPr="004B5231" w:rsidR="00FF504B">
        <w:rPr>
          <w:rFonts w:cs="Times New Roman"/>
          <w:sz w:val="24"/>
          <w:szCs w:val="24"/>
        </w:rPr>
        <w:t>.</w:t>
      </w:r>
      <w:r w:rsidRPr="004B5231" w:rsidR="003A062B">
        <w:rPr>
          <w:rFonts w:cs="Times New Roman"/>
          <w:sz w:val="24"/>
          <w:szCs w:val="24"/>
        </w:rPr>
        <w:t xml:space="preserve"> </w:t>
      </w:r>
      <w:r w:rsidRPr="004B5231" w:rsidR="0037766A">
        <w:rPr>
          <w:rFonts w:cs="Times New Roman"/>
          <w:sz w:val="24"/>
          <w:szCs w:val="24"/>
        </w:rPr>
        <w:t>Podle institucí pro tuto variantu hovoří</w:t>
      </w:r>
      <w:r w:rsidRPr="004B5231">
        <w:rPr>
          <w:rFonts w:cs="Times New Roman"/>
          <w:sz w:val="24"/>
          <w:szCs w:val="24"/>
        </w:rPr>
        <w:t xml:space="preserve"> </w:t>
      </w:r>
      <w:r w:rsidRPr="004B5231" w:rsidR="0037766A">
        <w:rPr>
          <w:rFonts w:cs="Times New Roman"/>
          <w:sz w:val="24"/>
          <w:szCs w:val="24"/>
        </w:rPr>
        <w:t xml:space="preserve">zejména </w:t>
      </w:r>
      <w:r w:rsidRPr="004B5231">
        <w:rPr>
          <w:rFonts w:cs="Times New Roman"/>
          <w:sz w:val="24"/>
          <w:szCs w:val="24"/>
        </w:rPr>
        <w:t xml:space="preserve">administrativní náročnost celého systému a </w:t>
      </w:r>
      <w:r w:rsidRPr="004B5231" w:rsidR="0037766A">
        <w:rPr>
          <w:rFonts w:cs="Times New Roman"/>
          <w:sz w:val="24"/>
          <w:szCs w:val="24"/>
        </w:rPr>
        <w:t>to</w:t>
      </w:r>
      <w:r w:rsidRPr="004B5231">
        <w:rPr>
          <w:rFonts w:cs="Times New Roman"/>
          <w:sz w:val="24"/>
          <w:szCs w:val="24"/>
        </w:rPr>
        <w:t>, že PI poskytují úvěrovým institucím špatně strukturovaná, neúplná nebo vůbec žádná data s tím, že povinnost PI se špatně vymáhá. Obdobný argument používá i</w:t>
      </w:r>
      <w:r w:rsidRPr="004B5231" w:rsidR="0040438A">
        <w:rPr>
          <w:rFonts w:cs="Times New Roman"/>
          <w:sz w:val="24"/>
          <w:szCs w:val="24"/>
        </w:rPr>
        <w:t> </w:t>
      </w:r>
      <w:r w:rsidRPr="004B5231" w:rsidR="0037766A">
        <w:rPr>
          <w:rFonts w:cs="Times New Roman"/>
          <w:sz w:val="24"/>
          <w:szCs w:val="24"/>
        </w:rPr>
        <w:t>GSFT</w:t>
      </w:r>
      <w:r w:rsidRPr="004B5231">
        <w:rPr>
          <w:rFonts w:cs="Times New Roman"/>
          <w:sz w:val="24"/>
          <w:szCs w:val="24"/>
        </w:rPr>
        <w:t>, podle kterého pravděpodobně velká část trhu neposkytuje informace.</w:t>
      </w:r>
      <w:r w:rsidRPr="004B5231" w:rsidR="0037766A">
        <w:rPr>
          <w:rFonts w:cs="Times New Roman"/>
          <w:sz w:val="24"/>
          <w:szCs w:val="24"/>
        </w:rPr>
        <w:t xml:space="preserve"> GSFT dále argumentuje i tím, že pojištění </w:t>
      </w:r>
      <w:r w:rsidRPr="004B5231" w:rsidR="009A1472">
        <w:rPr>
          <w:rFonts w:cs="Times New Roman"/>
          <w:sz w:val="24"/>
          <w:szCs w:val="24"/>
        </w:rPr>
        <w:t>peněžních prostředků klientů PI uložených u banky je v EU spíše výjimečné.</w:t>
      </w:r>
    </w:p>
    <w:p w:rsidR="009A1472" w:rsidRPr="004B5231" w:rsidP="00CB4925">
      <w:pPr>
        <w:autoSpaceDE w:val="0"/>
        <w:autoSpaceDN w:val="0"/>
        <w:adjustRightInd w:val="0"/>
        <w:spacing w:before="120" w:after="120" w:line="23" w:lineRule="atLeast"/>
        <w:rPr>
          <w:rFonts w:cs="Times New Roman"/>
          <w:b/>
          <w:bCs/>
          <w:sz w:val="24"/>
          <w:szCs w:val="24"/>
        </w:rPr>
      </w:pPr>
    </w:p>
    <w:p w:rsidR="009A1472" w:rsidRPr="004B5231" w:rsidP="00CB4925">
      <w:pPr>
        <w:autoSpaceDE w:val="0"/>
        <w:autoSpaceDN w:val="0"/>
        <w:adjustRightInd w:val="0"/>
        <w:spacing w:before="120" w:after="120" w:line="23" w:lineRule="atLeast"/>
        <w:rPr>
          <w:rFonts w:cs="Times New Roman"/>
          <w:b/>
          <w:bCs/>
          <w:sz w:val="24"/>
          <w:szCs w:val="24"/>
        </w:rPr>
      </w:pPr>
      <w:r w:rsidRPr="004B5231">
        <w:rPr>
          <w:rFonts w:cs="Times New Roman"/>
          <w:b/>
          <w:bCs/>
          <w:sz w:val="24"/>
          <w:szCs w:val="24"/>
        </w:rPr>
        <w:t>Vyhodnocení konzultace</w:t>
      </w:r>
    </w:p>
    <w:p w:rsidR="009A1472" w:rsidRPr="004B5231" w:rsidP="00CB4925">
      <w:pPr>
        <w:spacing w:before="120" w:after="120" w:line="23" w:lineRule="atLeast"/>
        <w:rPr>
          <w:rFonts w:cs="Times New Roman"/>
          <w:sz w:val="24"/>
          <w:szCs w:val="24"/>
        </w:rPr>
      </w:pPr>
      <w:r w:rsidRPr="004B5231">
        <w:rPr>
          <w:rFonts w:cs="Times New Roman"/>
          <w:sz w:val="24"/>
          <w:szCs w:val="24"/>
        </w:rPr>
        <w:t>Z obdržených odpovědí vyplývá že</w:t>
      </w:r>
    </w:p>
    <w:p w:rsidR="00511A23" w:rsidRPr="004B5231" w:rsidP="00CB4925">
      <w:pPr>
        <w:pStyle w:val="ListParagraph"/>
        <w:numPr>
          <w:ilvl w:val="0"/>
          <w:numId w:val="1"/>
        </w:numPr>
        <w:spacing w:before="120" w:after="120" w:line="23" w:lineRule="atLeast"/>
        <w:jc w:val="both"/>
        <w:rPr>
          <w:rFonts w:cs="Times New Roman"/>
          <w:sz w:val="24"/>
          <w:szCs w:val="24"/>
        </w:rPr>
      </w:pPr>
      <w:r w:rsidRPr="004B5231">
        <w:rPr>
          <w:rFonts w:cs="Times New Roman"/>
          <w:sz w:val="24"/>
          <w:szCs w:val="24"/>
        </w:rPr>
        <w:t xml:space="preserve">nelze dospět k závěru, že je </w:t>
      </w:r>
      <w:r w:rsidRPr="004B5231" w:rsidR="009A1472">
        <w:rPr>
          <w:rFonts w:cs="Times New Roman"/>
          <w:sz w:val="24"/>
          <w:szCs w:val="24"/>
        </w:rPr>
        <w:t>povinné pojištění peněžních prostředků klientů PI uložených u bank</w:t>
      </w:r>
      <w:bookmarkStart w:id="0" w:name="_GoBack"/>
      <w:bookmarkEnd w:id="0"/>
      <w:r w:rsidRPr="004B5231" w:rsidR="009A1472">
        <w:rPr>
          <w:rFonts w:cs="Times New Roman"/>
          <w:sz w:val="24"/>
          <w:szCs w:val="24"/>
        </w:rPr>
        <w:t>y</w:t>
      </w:r>
      <w:r w:rsidRPr="004B5231">
        <w:rPr>
          <w:rFonts w:cs="Times New Roman"/>
          <w:sz w:val="24"/>
          <w:szCs w:val="24"/>
        </w:rPr>
        <w:t xml:space="preserve"> plošně odmítáno</w:t>
      </w:r>
      <w:r w:rsidRPr="004B5231" w:rsidR="009A1472">
        <w:rPr>
          <w:rFonts w:cs="Times New Roman"/>
          <w:sz w:val="24"/>
          <w:szCs w:val="24"/>
        </w:rPr>
        <w:t>;</w:t>
      </w:r>
      <w:r w:rsidRPr="004B5231">
        <w:rPr>
          <w:rFonts w:cs="Times New Roman"/>
          <w:sz w:val="24"/>
          <w:szCs w:val="24"/>
        </w:rPr>
        <w:t xml:space="preserve"> rozvrstvení odpově</w:t>
      </w:r>
      <w:r w:rsidRPr="004B5231" w:rsidR="00D509CA">
        <w:rPr>
          <w:rFonts w:cs="Times New Roman"/>
          <w:sz w:val="24"/>
          <w:szCs w:val="24"/>
        </w:rPr>
        <w:t xml:space="preserve">dí ukazuje, že počet </w:t>
      </w:r>
      <w:r w:rsidRPr="004B5231">
        <w:rPr>
          <w:rFonts w:cs="Times New Roman"/>
          <w:sz w:val="24"/>
          <w:szCs w:val="24"/>
        </w:rPr>
        <w:t xml:space="preserve">příznivců </w:t>
      </w:r>
      <w:r w:rsidR="00CB4925">
        <w:rPr>
          <w:rFonts w:cs="Times New Roman"/>
          <w:sz w:val="24"/>
          <w:szCs w:val="24"/>
        </w:rPr>
        <w:t xml:space="preserve">varianty zachování </w:t>
      </w:r>
      <w:r w:rsidRPr="004B5231">
        <w:rPr>
          <w:rFonts w:cs="Times New Roman"/>
          <w:sz w:val="24"/>
          <w:szCs w:val="24"/>
        </w:rPr>
        <w:t>povinn</w:t>
      </w:r>
      <w:r w:rsidRPr="004B5231" w:rsidR="009A1472">
        <w:rPr>
          <w:rFonts w:cs="Times New Roman"/>
          <w:sz w:val="24"/>
          <w:szCs w:val="24"/>
        </w:rPr>
        <w:t xml:space="preserve">ého </w:t>
      </w:r>
      <w:r w:rsidRPr="004B5231">
        <w:rPr>
          <w:rFonts w:cs="Times New Roman"/>
          <w:sz w:val="24"/>
          <w:szCs w:val="24"/>
        </w:rPr>
        <w:t>pojištění peněžních prostředků klientů PI uložených u</w:t>
      </w:r>
      <w:r w:rsidR="004F1AC6">
        <w:rPr>
          <w:rFonts w:cs="Times New Roman"/>
          <w:sz w:val="24"/>
          <w:szCs w:val="24"/>
        </w:rPr>
        <w:t> </w:t>
      </w:r>
      <w:r w:rsidRPr="004B5231">
        <w:rPr>
          <w:rFonts w:cs="Times New Roman"/>
          <w:sz w:val="24"/>
          <w:szCs w:val="24"/>
        </w:rPr>
        <w:t>banky</w:t>
      </w:r>
      <w:r w:rsidRPr="004B5231" w:rsidR="009A1472">
        <w:rPr>
          <w:rFonts w:cs="Times New Roman"/>
          <w:sz w:val="24"/>
          <w:szCs w:val="24"/>
        </w:rPr>
        <w:t xml:space="preserve"> </w:t>
      </w:r>
      <w:r w:rsidRPr="00CB4925" w:rsidR="00CB4925">
        <w:rPr>
          <w:rFonts w:cs="Times New Roman"/>
          <w:sz w:val="24"/>
          <w:szCs w:val="24"/>
        </w:rPr>
        <w:t xml:space="preserve">a počet příznivců varianty zrušení tohoto pojištění </w:t>
      </w:r>
      <w:r w:rsidRPr="004B5231" w:rsidR="009A1472">
        <w:rPr>
          <w:rFonts w:cs="Times New Roman"/>
          <w:sz w:val="24"/>
          <w:szCs w:val="24"/>
        </w:rPr>
        <w:t>je obdobný, liší se pouze ve své struktuře</w:t>
      </w:r>
      <w:r w:rsidRPr="004B5231">
        <w:rPr>
          <w:rFonts w:cs="Times New Roman"/>
          <w:sz w:val="24"/>
          <w:szCs w:val="24"/>
        </w:rPr>
        <w:t xml:space="preserve">: </w:t>
      </w:r>
    </w:p>
    <w:p w:rsidR="00511A23" w:rsidRPr="004B5231" w:rsidP="00CB4925">
      <w:pPr>
        <w:pStyle w:val="ListParagraph"/>
        <w:numPr>
          <w:ilvl w:val="1"/>
          <w:numId w:val="1"/>
        </w:numPr>
        <w:spacing w:before="120" w:after="120" w:line="23" w:lineRule="atLeast"/>
        <w:jc w:val="both"/>
        <w:rPr>
          <w:rFonts w:cs="Times New Roman"/>
          <w:sz w:val="24"/>
          <w:szCs w:val="24"/>
        </w:rPr>
      </w:pPr>
      <w:r>
        <w:rPr>
          <w:rFonts w:cs="Times New Roman"/>
          <w:sz w:val="24"/>
          <w:szCs w:val="24"/>
        </w:rPr>
        <w:t>příznivci</w:t>
      </w:r>
      <w:r w:rsidRPr="004B5231">
        <w:rPr>
          <w:rFonts w:cs="Times New Roman"/>
          <w:sz w:val="24"/>
          <w:szCs w:val="24"/>
        </w:rPr>
        <w:t xml:space="preserve"> </w:t>
      </w:r>
      <w:r w:rsidR="002436B8">
        <w:rPr>
          <w:rFonts w:cs="Times New Roman"/>
          <w:sz w:val="24"/>
          <w:szCs w:val="24"/>
        </w:rPr>
        <w:t xml:space="preserve">zrušení </w:t>
      </w:r>
      <w:r w:rsidRPr="004B5231" w:rsidR="0073461D">
        <w:rPr>
          <w:rFonts w:cs="Times New Roman"/>
          <w:sz w:val="24"/>
          <w:szCs w:val="24"/>
        </w:rPr>
        <w:t>povinného pojištění</w:t>
      </w:r>
      <w:r w:rsidRPr="004B5231">
        <w:rPr>
          <w:rFonts w:cs="Times New Roman"/>
          <w:sz w:val="24"/>
          <w:szCs w:val="24"/>
        </w:rPr>
        <w:t xml:space="preserve"> j</w:t>
      </w:r>
      <w:r w:rsidRPr="004B5231" w:rsidR="00E42CDA">
        <w:rPr>
          <w:rFonts w:cs="Times New Roman"/>
          <w:sz w:val="24"/>
          <w:szCs w:val="24"/>
        </w:rPr>
        <w:t>sou</w:t>
      </w:r>
      <w:r w:rsidRPr="004B5231">
        <w:rPr>
          <w:rFonts w:cs="Times New Roman"/>
          <w:sz w:val="24"/>
          <w:szCs w:val="24"/>
        </w:rPr>
        <w:t xml:space="preserve"> GSFT a spíše úvěrové instituce, které argumentují hlavně administrativní náročností povinného pojištění peněžních prostředků klientů PI uložených u banky a nekvalitními daty od PI; nicméně úvěrové instituce v tomto postoji nejsou úplně jednotné;</w:t>
      </w:r>
    </w:p>
    <w:p w:rsidR="00D509CA" w:rsidRPr="004B5231" w:rsidP="00CB4925">
      <w:pPr>
        <w:pStyle w:val="ListParagraph"/>
        <w:numPr>
          <w:ilvl w:val="1"/>
          <w:numId w:val="1"/>
        </w:numPr>
        <w:spacing w:before="120" w:after="120" w:line="23" w:lineRule="atLeast"/>
        <w:jc w:val="both"/>
        <w:rPr>
          <w:rFonts w:cs="Times New Roman"/>
          <w:sz w:val="24"/>
          <w:szCs w:val="24"/>
        </w:rPr>
      </w:pPr>
      <w:r w:rsidRPr="004B5231">
        <w:rPr>
          <w:rFonts w:cs="Times New Roman"/>
          <w:sz w:val="24"/>
          <w:szCs w:val="24"/>
        </w:rPr>
        <w:t>příznivc</w:t>
      </w:r>
      <w:r>
        <w:rPr>
          <w:rFonts w:cs="Times New Roman"/>
          <w:sz w:val="24"/>
          <w:szCs w:val="24"/>
        </w:rPr>
        <w:t>i</w:t>
      </w:r>
      <w:r w:rsidRPr="004B5231">
        <w:rPr>
          <w:rFonts w:cs="Times New Roman"/>
          <w:sz w:val="24"/>
          <w:szCs w:val="24"/>
        </w:rPr>
        <w:t xml:space="preserve"> </w:t>
      </w:r>
      <w:r w:rsidRPr="004B5231" w:rsidR="00511A23">
        <w:rPr>
          <w:rFonts w:cs="Times New Roman"/>
          <w:sz w:val="24"/>
          <w:szCs w:val="24"/>
        </w:rPr>
        <w:t>povinného pojištění jsou spíše PI</w:t>
      </w:r>
      <w:r w:rsidRPr="004B5231">
        <w:rPr>
          <w:rFonts w:cs="Times New Roman"/>
          <w:sz w:val="24"/>
          <w:szCs w:val="24"/>
        </w:rPr>
        <w:t>, které</w:t>
      </w:r>
      <w:r w:rsidRPr="004B5231" w:rsidR="0073461D">
        <w:rPr>
          <w:rFonts w:cs="Times New Roman"/>
          <w:sz w:val="24"/>
          <w:szCs w:val="24"/>
        </w:rPr>
        <w:t xml:space="preserve"> </w:t>
      </w:r>
      <w:r w:rsidRPr="004B5231">
        <w:rPr>
          <w:rFonts w:cs="Times New Roman"/>
          <w:sz w:val="24"/>
          <w:szCs w:val="24"/>
        </w:rPr>
        <w:t>argumentují především nezbytností zachovat stejné podmínky pro PI</w:t>
      </w:r>
      <w:r w:rsidRPr="004B5231" w:rsidR="00255809">
        <w:rPr>
          <w:rFonts w:cs="Times New Roman"/>
          <w:sz w:val="24"/>
          <w:szCs w:val="24"/>
        </w:rPr>
        <w:t>,</w:t>
      </w:r>
      <w:r w:rsidRPr="004B5231">
        <w:rPr>
          <w:rFonts w:cs="Times New Roman"/>
          <w:sz w:val="24"/>
          <w:szCs w:val="24"/>
        </w:rPr>
        <w:t xml:space="preserve"> jaké mají úvěrové instituce, </w:t>
      </w:r>
      <w:r w:rsidRPr="004B5231">
        <w:rPr>
          <w:rFonts w:cs="Times New Roman"/>
          <w:sz w:val="24"/>
          <w:szCs w:val="24"/>
        </w:rPr>
        <w:t xml:space="preserve">jejichž prostředky držené pro klienty jsou pojištěné, </w:t>
      </w:r>
      <w:r w:rsidRPr="004B5231" w:rsidR="00E42CDA">
        <w:rPr>
          <w:rFonts w:cs="Times New Roman"/>
          <w:sz w:val="24"/>
          <w:szCs w:val="24"/>
        </w:rPr>
        <w:t xml:space="preserve">dále </w:t>
      </w:r>
      <w:r w:rsidRPr="004B5231">
        <w:rPr>
          <w:rFonts w:cs="Times New Roman"/>
          <w:sz w:val="24"/>
          <w:szCs w:val="24"/>
        </w:rPr>
        <w:t>tím, že se již stávající úpravě přizpůsobily a ta jim nečiní žádný významnější problém</w:t>
      </w:r>
      <w:r w:rsidRPr="004B5231" w:rsidR="00E42CDA">
        <w:rPr>
          <w:rFonts w:cs="Times New Roman"/>
          <w:sz w:val="24"/>
          <w:szCs w:val="24"/>
        </w:rPr>
        <w:t>,</w:t>
      </w:r>
      <w:r w:rsidRPr="004B5231">
        <w:rPr>
          <w:rFonts w:cs="Times New Roman"/>
          <w:sz w:val="24"/>
          <w:szCs w:val="24"/>
        </w:rPr>
        <w:t xml:space="preserve"> a</w:t>
      </w:r>
      <w:r w:rsidRPr="004B5231" w:rsidR="00E42CDA">
        <w:rPr>
          <w:rFonts w:cs="Times New Roman"/>
          <w:sz w:val="24"/>
          <w:szCs w:val="24"/>
        </w:rPr>
        <w:t xml:space="preserve"> že</w:t>
      </w:r>
      <w:r w:rsidRPr="004B5231">
        <w:rPr>
          <w:rFonts w:cs="Times New Roman"/>
          <w:sz w:val="24"/>
          <w:szCs w:val="24"/>
        </w:rPr>
        <w:t xml:space="preserve"> se změnou by byly spojeny další náklady; ani PI však v této otázce nejsou zcela jednotné;</w:t>
      </w:r>
    </w:p>
    <w:p w:rsidR="00D509CA" w:rsidRPr="004B5231" w:rsidP="00CB4925">
      <w:pPr>
        <w:pStyle w:val="ListParagraph"/>
        <w:numPr>
          <w:ilvl w:val="0"/>
          <w:numId w:val="1"/>
        </w:numPr>
        <w:spacing w:before="120" w:after="120" w:line="23" w:lineRule="atLeast"/>
        <w:jc w:val="both"/>
        <w:rPr>
          <w:rFonts w:cs="Times New Roman"/>
          <w:sz w:val="24"/>
          <w:szCs w:val="24"/>
        </w:rPr>
      </w:pPr>
      <w:r w:rsidRPr="004B5231">
        <w:rPr>
          <w:rFonts w:cs="Times New Roman"/>
          <w:sz w:val="24"/>
          <w:szCs w:val="24"/>
        </w:rPr>
        <w:t xml:space="preserve">nejméně podporovaná je varianta dobrovolného pojištění </w:t>
      </w:r>
      <w:r w:rsidRPr="004B5231">
        <w:rPr>
          <w:rFonts w:cs="Times New Roman"/>
          <w:sz w:val="24"/>
          <w:szCs w:val="24"/>
        </w:rPr>
        <w:t>peněžních prostředků klientů PI uložených u banky</w:t>
      </w:r>
      <w:r w:rsidRPr="004B5231" w:rsidR="0020014F">
        <w:rPr>
          <w:rFonts w:cs="Times New Roman"/>
          <w:sz w:val="24"/>
          <w:szCs w:val="24"/>
        </w:rPr>
        <w:t>,</w:t>
      </w:r>
      <w:r w:rsidRPr="004B5231">
        <w:rPr>
          <w:rFonts w:cs="Times New Roman"/>
          <w:sz w:val="24"/>
          <w:szCs w:val="24"/>
        </w:rPr>
        <w:t xml:space="preserve"> a to zejména z důvodu vyšší administrativní náročnosti, kdy by bylo v celém portfoliu potřeba označovat pojištěné </w:t>
      </w:r>
      <w:r w:rsidRPr="004B5231" w:rsidR="009F7805">
        <w:rPr>
          <w:rFonts w:cs="Times New Roman"/>
          <w:sz w:val="24"/>
          <w:szCs w:val="24"/>
        </w:rPr>
        <w:t xml:space="preserve">a nepojištěné </w:t>
      </w:r>
      <w:r w:rsidRPr="004B5231">
        <w:rPr>
          <w:rFonts w:cs="Times New Roman"/>
          <w:sz w:val="24"/>
          <w:szCs w:val="24"/>
        </w:rPr>
        <w:t>peněžní prostředky</w:t>
      </w:r>
      <w:r w:rsidRPr="004B5231" w:rsidR="0020014F">
        <w:rPr>
          <w:rFonts w:cs="Times New Roman"/>
          <w:sz w:val="24"/>
          <w:szCs w:val="24"/>
        </w:rPr>
        <w:t>,</w:t>
      </w:r>
      <w:r w:rsidRPr="004B5231">
        <w:rPr>
          <w:rFonts w:cs="Times New Roman"/>
          <w:sz w:val="24"/>
          <w:szCs w:val="24"/>
        </w:rPr>
        <w:t xml:space="preserve"> čímž by vznikla další vrstva informací, které by musely úvěrové instituce zpracovávat; </w:t>
      </w:r>
    </w:p>
    <w:p w:rsidR="0073461D" w:rsidRPr="004B5231" w:rsidP="00CB4925">
      <w:pPr>
        <w:pStyle w:val="ListParagraph"/>
        <w:numPr>
          <w:ilvl w:val="0"/>
          <w:numId w:val="1"/>
        </w:numPr>
        <w:spacing w:before="120" w:after="120" w:line="23" w:lineRule="atLeast"/>
        <w:jc w:val="both"/>
        <w:rPr>
          <w:rFonts w:cs="Times New Roman"/>
          <w:sz w:val="24"/>
          <w:szCs w:val="24"/>
        </w:rPr>
      </w:pPr>
      <w:r w:rsidRPr="004B5231">
        <w:rPr>
          <w:rFonts w:cs="Times New Roman"/>
          <w:sz w:val="24"/>
          <w:szCs w:val="24"/>
        </w:rPr>
        <w:t xml:space="preserve">data od PI jsou ve velkém množství případů neúplná, </w:t>
      </w:r>
      <w:r w:rsidRPr="004B5231" w:rsidR="00FB02C6">
        <w:rPr>
          <w:rFonts w:cs="Times New Roman"/>
          <w:sz w:val="24"/>
          <w:szCs w:val="24"/>
        </w:rPr>
        <w:t>nesprávná nebo chybějí vůbec a </w:t>
      </w:r>
      <w:r w:rsidRPr="004B5231">
        <w:rPr>
          <w:rFonts w:cs="Times New Roman"/>
          <w:sz w:val="24"/>
          <w:szCs w:val="24"/>
        </w:rPr>
        <w:t>je složité PI donutit k jejich poskytnutí.</w:t>
      </w:r>
    </w:p>
    <w:p w:rsidR="00FB02C6" w:rsidRPr="004B5231" w:rsidP="00CB4925">
      <w:pPr>
        <w:spacing w:before="120" w:after="120" w:line="23" w:lineRule="atLeast"/>
        <w:rPr>
          <w:rFonts w:cs="Times New Roman"/>
          <w:sz w:val="24"/>
          <w:szCs w:val="24"/>
        </w:rPr>
      </w:pPr>
      <w:r w:rsidRPr="004B5231">
        <w:rPr>
          <w:rFonts w:cs="Times New Roman"/>
          <w:b/>
          <w:bCs/>
          <w:sz w:val="24"/>
          <w:szCs w:val="24"/>
        </w:rPr>
        <w:t>Závěr</w:t>
      </w:r>
    </w:p>
    <w:p w:rsidR="0073461D" w:rsidRPr="009A1472" w:rsidP="00CB4925">
      <w:pPr>
        <w:spacing w:before="120" w:after="120" w:line="23" w:lineRule="atLeast"/>
        <w:jc w:val="both"/>
        <w:rPr>
          <w:rFonts w:ascii="Times New Roman" w:hAnsi="Times New Roman" w:cs="Times New Roman"/>
          <w:sz w:val="24"/>
          <w:szCs w:val="24"/>
        </w:rPr>
      </w:pPr>
      <w:r w:rsidRPr="004B5231">
        <w:rPr>
          <w:rFonts w:cs="Times New Roman"/>
          <w:sz w:val="24"/>
          <w:szCs w:val="24"/>
        </w:rPr>
        <w:t xml:space="preserve">Na základě </w:t>
      </w:r>
      <w:r w:rsidRPr="004B5231" w:rsidR="00FB02C6">
        <w:rPr>
          <w:rFonts w:cs="Times New Roman"/>
          <w:sz w:val="24"/>
          <w:szCs w:val="24"/>
        </w:rPr>
        <w:t>vyhodnocení konzultace</w:t>
      </w:r>
      <w:r w:rsidRPr="004B5231">
        <w:rPr>
          <w:rFonts w:cs="Times New Roman"/>
          <w:sz w:val="24"/>
          <w:szCs w:val="24"/>
        </w:rPr>
        <w:t xml:space="preserve"> nelze učinit </w:t>
      </w:r>
      <w:r w:rsidRPr="004B5231" w:rsidR="00056A07">
        <w:rPr>
          <w:rFonts w:cs="Times New Roman"/>
          <w:sz w:val="24"/>
          <w:szCs w:val="24"/>
        </w:rPr>
        <w:t xml:space="preserve">jednoznačný </w:t>
      </w:r>
      <w:r w:rsidRPr="004B5231">
        <w:rPr>
          <w:rFonts w:cs="Times New Roman"/>
          <w:sz w:val="24"/>
          <w:szCs w:val="24"/>
        </w:rPr>
        <w:t>závěr, podle kterého by se měla změnit dosavadní právní úprava z</w:t>
      </w:r>
      <w:r w:rsidRPr="004B5231" w:rsidR="00FB02C6">
        <w:rPr>
          <w:rFonts w:cs="Times New Roman"/>
          <w:sz w:val="24"/>
          <w:szCs w:val="24"/>
        </w:rPr>
        <w:t> </w:t>
      </w:r>
      <w:r w:rsidRPr="004B5231">
        <w:rPr>
          <w:rFonts w:cs="Times New Roman"/>
          <w:sz w:val="24"/>
          <w:szCs w:val="24"/>
        </w:rPr>
        <w:t>hlediska</w:t>
      </w:r>
      <w:r w:rsidRPr="004B5231" w:rsidR="00FB02C6">
        <w:rPr>
          <w:rFonts w:cs="Times New Roman"/>
          <w:sz w:val="24"/>
          <w:szCs w:val="24"/>
        </w:rPr>
        <w:t xml:space="preserve"> povinnosti</w:t>
      </w:r>
      <w:r w:rsidRPr="004B5231">
        <w:rPr>
          <w:rFonts w:cs="Times New Roman"/>
          <w:sz w:val="24"/>
          <w:szCs w:val="24"/>
        </w:rPr>
        <w:t xml:space="preserve"> </w:t>
      </w:r>
      <w:r w:rsidRPr="004B5231" w:rsidR="00FB02C6">
        <w:rPr>
          <w:rFonts w:cs="Times New Roman"/>
          <w:sz w:val="24"/>
          <w:szCs w:val="24"/>
        </w:rPr>
        <w:t>pojištění peněžních prostředků klientů PI uložených u banky</w:t>
      </w:r>
      <w:r w:rsidRPr="004B5231">
        <w:rPr>
          <w:rFonts w:cs="Times New Roman"/>
          <w:sz w:val="24"/>
          <w:szCs w:val="24"/>
        </w:rPr>
        <w:t xml:space="preserve">, a to i s ohledem na to, že úvěrové instituce i PI mají většinou na tuto variantu nastavené systémy, na což </w:t>
      </w:r>
      <w:r w:rsidRPr="004B5231" w:rsidR="0020014F">
        <w:rPr>
          <w:rFonts w:cs="Times New Roman"/>
          <w:sz w:val="24"/>
          <w:szCs w:val="24"/>
        </w:rPr>
        <w:t xml:space="preserve">již v minulosti </w:t>
      </w:r>
      <w:r w:rsidRPr="004B5231">
        <w:rPr>
          <w:rFonts w:cs="Times New Roman"/>
          <w:sz w:val="24"/>
          <w:szCs w:val="24"/>
        </w:rPr>
        <w:t xml:space="preserve">vynaložily určité náklady. Nicméně vzhledem k tomu, že pouze část trhu poskytuje bankám informace ve správném </w:t>
      </w:r>
      <w:r w:rsidRPr="004B5231" w:rsidR="00FB02C6">
        <w:rPr>
          <w:rFonts w:cs="Times New Roman"/>
          <w:sz w:val="24"/>
          <w:szCs w:val="24"/>
        </w:rPr>
        <w:t xml:space="preserve">formátu, resp. </w:t>
      </w:r>
      <w:r w:rsidRPr="004B5231" w:rsidR="0020014F">
        <w:rPr>
          <w:rFonts w:cs="Times New Roman"/>
          <w:sz w:val="24"/>
          <w:szCs w:val="24"/>
        </w:rPr>
        <w:t xml:space="preserve">část trhu </w:t>
      </w:r>
      <w:r w:rsidRPr="004B5231" w:rsidR="00FB02C6">
        <w:rPr>
          <w:rFonts w:cs="Times New Roman"/>
          <w:sz w:val="24"/>
          <w:szCs w:val="24"/>
        </w:rPr>
        <w:t>neposkytuje data</w:t>
      </w:r>
      <w:r w:rsidRPr="004B5231">
        <w:rPr>
          <w:rFonts w:cs="Times New Roman"/>
          <w:sz w:val="24"/>
          <w:szCs w:val="24"/>
        </w:rPr>
        <w:t> vůbec, bude</w:t>
      </w:r>
      <w:r w:rsidRPr="004B5231" w:rsidR="00FB02C6">
        <w:rPr>
          <w:rFonts w:cs="Times New Roman"/>
          <w:sz w:val="24"/>
          <w:szCs w:val="24"/>
        </w:rPr>
        <w:t xml:space="preserve"> MF </w:t>
      </w:r>
      <w:r w:rsidRPr="004B5231">
        <w:rPr>
          <w:rFonts w:cs="Times New Roman"/>
          <w:sz w:val="24"/>
          <w:szCs w:val="24"/>
        </w:rPr>
        <w:t xml:space="preserve">de lege </w:t>
      </w:r>
      <w:r w:rsidRPr="004B5231">
        <w:rPr>
          <w:rFonts w:cs="Times New Roman"/>
          <w:sz w:val="24"/>
          <w:szCs w:val="24"/>
        </w:rPr>
        <w:t>ferenda</w:t>
      </w:r>
      <w:r w:rsidRPr="004B5231">
        <w:rPr>
          <w:rFonts w:cs="Times New Roman"/>
          <w:sz w:val="24"/>
          <w:szCs w:val="24"/>
        </w:rPr>
        <w:t xml:space="preserve"> </w:t>
      </w:r>
      <w:r w:rsidRPr="004B5231" w:rsidR="00FB02C6">
        <w:rPr>
          <w:rFonts w:cs="Times New Roman"/>
          <w:sz w:val="24"/>
          <w:szCs w:val="24"/>
        </w:rPr>
        <w:t>analyzovat</w:t>
      </w:r>
      <w:r w:rsidRPr="004B5231">
        <w:rPr>
          <w:rFonts w:cs="Times New Roman"/>
          <w:sz w:val="24"/>
          <w:szCs w:val="24"/>
        </w:rPr>
        <w:t xml:space="preserve"> </w:t>
      </w:r>
      <w:r w:rsidRPr="004B5231" w:rsidR="00FB02C6">
        <w:rPr>
          <w:rFonts w:cs="Times New Roman"/>
          <w:sz w:val="24"/>
          <w:szCs w:val="24"/>
        </w:rPr>
        <w:t>způsoby</w:t>
      </w:r>
      <w:r w:rsidRPr="004B5231" w:rsidR="0020014F">
        <w:rPr>
          <w:rFonts w:cs="Times New Roman"/>
          <w:sz w:val="24"/>
          <w:szCs w:val="24"/>
        </w:rPr>
        <w:t>,</w:t>
      </w:r>
      <w:r w:rsidRPr="004B5231" w:rsidR="00FB02C6">
        <w:rPr>
          <w:rFonts w:cs="Times New Roman"/>
          <w:sz w:val="24"/>
          <w:szCs w:val="24"/>
        </w:rPr>
        <w:t xml:space="preserve"> </w:t>
      </w:r>
      <w:r w:rsidRPr="004B5231">
        <w:rPr>
          <w:rFonts w:cs="Times New Roman"/>
          <w:sz w:val="24"/>
          <w:szCs w:val="24"/>
        </w:rPr>
        <w:t xml:space="preserve">jak zabezpečit lepší předávání dat PI a dalších institucí směrem k úvěrovým institucím. </w:t>
      </w:r>
      <w:r w:rsidRPr="004B5231" w:rsidR="00FB02C6">
        <w:rPr>
          <w:rFonts w:cs="Times New Roman"/>
          <w:sz w:val="24"/>
          <w:szCs w:val="24"/>
        </w:rPr>
        <w:t>Tato nová úprava však nebude součástí v současné době projednáv</w:t>
      </w:r>
      <w:r w:rsidRPr="004B5231" w:rsidR="00160E72">
        <w:rPr>
          <w:rFonts w:cs="Times New Roman"/>
          <w:sz w:val="24"/>
          <w:szCs w:val="24"/>
        </w:rPr>
        <w:t>a</w:t>
      </w:r>
      <w:r w:rsidRPr="004B5231" w:rsidR="00FB02C6">
        <w:rPr>
          <w:rFonts w:cs="Times New Roman"/>
          <w:sz w:val="24"/>
          <w:szCs w:val="24"/>
        </w:rPr>
        <w:t>né novely zákona o bankách.</w:t>
      </w:r>
      <w:r w:rsidRPr="004B5231" w:rsidR="00160E72">
        <w:rPr>
          <w:rFonts w:cs="Times New Roman"/>
          <w:sz w:val="24"/>
          <w:szCs w:val="24"/>
        </w:rPr>
        <w:t xml:space="preserve"> MF o</w:t>
      </w:r>
      <w:r w:rsidRPr="004B5231" w:rsidR="00E86090">
        <w:rPr>
          <w:rFonts w:cs="Times New Roman"/>
          <w:sz w:val="24"/>
          <w:szCs w:val="24"/>
        </w:rPr>
        <w:t> </w:t>
      </w:r>
      <w:r w:rsidRPr="004B5231" w:rsidR="0040438A">
        <w:rPr>
          <w:rFonts w:cs="Times New Roman"/>
          <w:sz w:val="24"/>
          <w:szCs w:val="24"/>
        </w:rPr>
        <w:t xml:space="preserve"> učiněných zjištěních </w:t>
      </w:r>
      <w:r w:rsidRPr="004B5231" w:rsidR="00160E72">
        <w:rPr>
          <w:rFonts w:cs="Times New Roman"/>
          <w:sz w:val="24"/>
          <w:szCs w:val="24"/>
        </w:rPr>
        <w:t>informuje také ČNB, jakožto orgán dohledu na finančních trzích.</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392" w:rsidP="000617A5">
      <w:pPr>
        <w:spacing w:after="0" w:line="240" w:lineRule="auto"/>
      </w:pPr>
      <w:r>
        <w:separator/>
      </w:r>
    </w:p>
  </w:footnote>
  <w:footnote w:type="continuationSeparator" w:id="1">
    <w:p w:rsidR="00BD5392" w:rsidP="000617A5">
      <w:pPr>
        <w:spacing w:after="0" w:line="240" w:lineRule="auto"/>
      </w:pPr>
      <w:r>
        <w:continuationSeparator/>
      </w:r>
    </w:p>
  </w:footnote>
  <w:footnote w:id="2">
    <w:p w:rsidR="000617A5" w:rsidP="00E84374">
      <w:pPr>
        <w:pStyle w:val="FootnoteText"/>
        <w:jc w:val="both"/>
      </w:pPr>
      <w:r>
        <w:rPr>
          <w:rStyle w:val="FootnoteReference"/>
        </w:rPr>
        <w:footnoteRef/>
      </w:r>
      <w:r>
        <w:t xml:space="preserve"> 1. Jaké jsou Vaše zkušenosti se stávající regulací pojištění peněžních prostředků klientů PI uložených u banky (§ 41f odst. 7 zákona o bankách), a to jak pozitivní, tak negativní? </w:t>
      </w:r>
    </w:p>
    <w:p w:rsidR="000617A5" w:rsidP="00E84374">
      <w:pPr>
        <w:pStyle w:val="FootnoteText"/>
        <w:jc w:val="both"/>
      </w:pPr>
      <w:r>
        <w:t>2. Kterou variantu regulace byste do budoucna preferovali?</w:t>
      </w:r>
    </w:p>
    <w:p w:rsidR="000617A5" w:rsidP="00E84374">
      <w:pPr>
        <w:pStyle w:val="FootnoteText"/>
        <w:jc w:val="both"/>
      </w:pPr>
      <w:r>
        <w:t xml:space="preserve">A) Zachovat stávající stav, tzn. povinné pojištění peněžních prostředků klientů PI uložených u banky, </w:t>
      </w:r>
    </w:p>
    <w:p w:rsidR="000617A5" w:rsidP="00E84374">
      <w:pPr>
        <w:pStyle w:val="FootnoteText"/>
        <w:jc w:val="both"/>
      </w:pPr>
      <w:r>
        <w:t xml:space="preserve">B) změnit pojištění peněžních prostředků klientů PI uložených u banky na dobrovolné (např. podle rozhodnutí PI), nebo </w:t>
      </w:r>
    </w:p>
    <w:p w:rsidR="000617A5" w:rsidP="00E84374">
      <w:pPr>
        <w:pStyle w:val="FootnoteText"/>
        <w:jc w:val="both"/>
      </w:pPr>
      <w:r>
        <w:t>C) peněžní prostředky klientů PI uložené u banky z krytí systémem pojištění vkladů úplně vyjmout.</w:t>
      </w:r>
    </w:p>
    <w:p w:rsidR="000617A5" w:rsidP="00E84374">
      <w:pPr>
        <w:pStyle w:val="FootnoteText"/>
        <w:jc w:val="both"/>
      </w:pPr>
      <w:r>
        <w:t xml:space="preserve">Uveďte prosím důvody Vaší odpovědi. </w:t>
      </w:r>
    </w:p>
    <w:p w:rsidR="00E84374" w:rsidP="00E84374">
      <w:pPr>
        <w:pStyle w:val="FootnoteText"/>
        <w:jc w:val="both"/>
      </w:pPr>
      <w:r>
        <w:t xml:space="preserve">3. Vidíte povinné pojištění peněžních prostředků klientů PI uložených u banky, které je nyní aplikováno v ČR jako tzv. národní diskrece, jako konkurenční </w:t>
      </w:r>
      <w:r>
        <w:t>výhodu</w:t>
      </w:r>
      <w:r>
        <w:t xml:space="preserve"> nebo naopak konkurenční nevýhodu, anebo je z hlediska konkurence neutrální? </w:t>
      </w:r>
    </w:p>
    <w:p w:rsidR="000617A5" w:rsidP="00E84374">
      <w:pPr>
        <w:pStyle w:val="FootnoteText"/>
        <w:jc w:val="both"/>
      </w:pPr>
      <w:r>
        <w:t>Uveďte prosím důvody Vaší odpovědi, vč. toho, zda posuzujete dopad na konkurenci mezi bankami (jako příjemci vkladu PI), anebo samotnými PI (jako příjemci peněžních prostředků od svých klientů, které dále jako PI drží u banky).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6C2498"/>
    <w:multiLevelType w:val="hybridMultilevel"/>
    <w:tmpl w:val="440A8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TextpoznpodarouChar"/>
    <w:uiPriority w:val="99"/>
    <w:semiHidden/>
    <w:unhideWhenUsed/>
    <w:rsid w:val="000617A5"/>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617A5"/>
    <w:rPr>
      <w:sz w:val="20"/>
      <w:szCs w:val="20"/>
    </w:rPr>
  </w:style>
  <w:style w:type="character" w:styleId="FootnoteReference">
    <w:name w:val="footnote reference"/>
    <w:basedOn w:val="DefaultParagraphFont"/>
    <w:uiPriority w:val="99"/>
    <w:semiHidden/>
    <w:unhideWhenUsed/>
    <w:rsid w:val="000617A5"/>
    <w:rPr>
      <w:vertAlign w:val="superscript"/>
    </w:rPr>
  </w:style>
  <w:style w:type="paragraph" w:styleId="BalloonText">
    <w:name w:val="Balloon Text"/>
    <w:basedOn w:val="Normal"/>
    <w:link w:val="TextbublinyChar"/>
    <w:uiPriority w:val="99"/>
    <w:semiHidden/>
    <w:unhideWhenUsed/>
    <w:rsid w:val="0016205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162054"/>
    <w:rPr>
      <w:rFonts w:ascii="Tahoma" w:hAnsi="Tahoma" w:cs="Tahoma"/>
      <w:sz w:val="16"/>
      <w:szCs w:val="16"/>
    </w:rPr>
  </w:style>
  <w:style w:type="paragraph" w:styleId="ListParagraph">
    <w:name w:val="List Paragraph"/>
    <w:basedOn w:val="Normal"/>
    <w:uiPriority w:val="34"/>
    <w:qFormat/>
    <w:rsid w:val="009A1472"/>
    <w:pPr>
      <w:ind w:left="720"/>
      <w:contextualSpacing/>
    </w:pPr>
  </w:style>
  <w:style w:type="character" w:styleId="CommentReference">
    <w:name w:val="annotation reference"/>
    <w:basedOn w:val="DefaultParagraphFont"/>
    <w:uiPriority w:val="99"/>
    <w:semiHidden/>
    <w:unhideWhenUsed/>
    <w:rsid w:val="00B922E1"/>
    <w:rPr>
      <w:sz w:val="16"/>
      <w:szCs w:val="16"/>
    </w:rPr>
  </w:style>
  <w:style w:type="paragraph" w:styleId="CommentText">
    <w:name w:val="annotation text"/>
    <w:basedOn w:val="Normal"/>
    <w:link w:val="TextkomenteChar"/>
    <w:uiPriority w:val="99"/>
    <w:semiHidden/>
    <w:unhideWhenUsed/>
    <w:rsid w:val="00B922E1"/>
    <w:pPr>
      <w:spacing w:line="240" w:lineRule="auto"/>
    </w:pPr>
    <w:rPr>
      <w:sz w:val="20"/>
      <w:szCs w:val="20"/>
    </w:rPr>
  </w:style>
  <w:style w:type="character" w:customStyle="1" w:styleId="TextkomenteChar">
    <w:name w:val="Text komentáře Char"/>
    <w:basedOn w:val="DefaultParagraphFont"/>
    <w:link w:val="CommentText"/>
    <w:uiPriority w:val="99"/>
    <w:semiHidden/>
    <w:rsid w:val="00B922E1"/>
    <w:rPr>
      <w:sz w:val="20"/>
      <w:szCs w:val="20"/>
    </w:rPr>
  </w:style>
  <w:style w:type="paragraph" w:styleId="CommentSubject">
    <w:name w:val="annotation subject"/>
    <w:basedOn w:val="CommentText"/>
    <w:next w:val="CommentText"/>
    <w:link w:val="PedmtkomenteChar"/>
    <w:uiPriority w:val="99"/>
    <w:semiHidden/>
    <w:unhideWhenUsed/>
    <w:rsid w:val="00B922E1"/>
    <w:rPr>
      <w:b/>
      <w:bCs/>
    </w:rPr>
  </w:style>
  <w:style w:type="character" w:customStyle="1" w:styleId="PedmtkomenteChar">
    <w:name w:val="Předmět komentáře Char"/>
    <w:basedOn w:val="TextkomenteChar"/>
    <w:link w:val="CommentSubject"/>
    <w:uiPriority w:val="99"/>
    <w:semiHidden/>
    <w:rsid w:val="00B922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theme" Target="theme/theme1.xml" /><Relationship Id="rId9" Type="http://schemas.openxmlformats.org/officeDocument/2006/relationships/numbering" Target="numbering.xml"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14882\Desktop\Kopie%20-%20Poji&#353;t&#283;n&#237;%20vklad&#367;%20PI%20-%20v&#253;sledky%20konzultace.xlsx" TargetMode="Externa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14882\Desktop\Kopie%20-%20Poji&#353;t&#283;n&#237;%20vklad&#367;%20PI%20-%20v&#253;sledky%20konzultace.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c:lang val="cs-CZ"/>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cs-CZ"/>
              <a:t>Graf 1: </a:t>
            </a:r>
            <a:r>
              <a:rPr lang="en-US"/>
              <a:t>Preference jednotlivých variant - celkově</a:t>
            </a:r>
          </a:p>
        </c:rich>
      </c:tx>
    </c:title>
    <c:view3D>
      <c:rotX val="50"/>
      <c:rotY val="169"/>
    </c:view3D>
    <c:floor>
      <c:thickness val="0"/>
    </c:floor>
    <c:sideWall>
      <c:thickness val="0"/>
    </c:sideWall>
    <c:backWall>
      <c:thickness val="0"/>
    </c:backWall>
    <c:plotArea>
      <c:pie3DChart>
        <c:varyColors val="1"/>
        <c:ser>
          <c:idx val="0"/>
          <c:order val="0"/>
          <c:explosion val="9"/>
          <c:dPt>
            <c:idx val="0"/>
            <c:bubble3D val="0"/>
          </c:dPt>
          <c:dPt>
            <c:idx val="1"/>
            <c:bubble3D val="0"/>
            <c:explosion val="0"/>
          </c:dPt>
          <c:dPt>
            <c:idx val="2"/>
            <c:bubble3D val="0"/>
            <c:explosion val="0"/>
          </c:dPt>
          <c:dLbls>
            <c:dLblPos val="outEnd"/>
            <c:showLegendKey val="0"/>
            <c:showVal val="0"/>
            <c:showCatName val="0"/>
            <c:showSerName val="0"/>
            <c:showPercent val="1"/>
            <c:showBubbleSize val="0"/>
            <c:showLeaderLines val="1"/>
          </c:dLbls>
          <c:cat>
            <c:strRef>
              <c:f>List1!$A$1:$A$4</c:f>
              <c:strCache>
                <c:ptCount val="4"/>
                <c:pt idx="0">
                  <c:v>Zachování současného stavu</c:v>
                </c:pt>
                <c:pt idx="1">
                  <c:v>Dobrovolné pojištění</c:v>
                </c:pt>
                <c:pt idx="2">
                  <c:v>Varianta nepřípustná z pohledu DGSD</c:v>
                </c:pt>
                <c:pt idx="3">
                  <c:v>Vyloučení z pojištění vkladů</c:v>
                </c:pt>
              </c:strCache>
            </c:strRef>
          </c:cat>
          <c:val>
            <c:numRef>
              <c:f>List1!$B$1:$B$4</c:f>
              <c:numCache>
                <c:formatCode>General</c:formatCode>
                <c:ptCount val="4"/>
                <c:pt idx="0">
                  <c:v>9</c:v>
                </c:pt>
                <c:pt idx="1">
                  <c:v>3</c:v>
                </c:pt>
                <c:pt idx="2">
                  <c:v>2</c:v>
                </c:pt>
                <c:pt idx="3">
                  <c:v>9</c:v>
                </c:pt>
              </c:numCache>
            </c:numRef>
          </c:val>
        </c:ser>
        <c:dLbls>
          <c:dLblPos val="outEnd"/>
          <c:showLegendKey val="0"/>
          <c:showVal val="0"/>
          <c:showCatName val="0"/>
          <c:showSerName val="0"/>
          <c:showPercent val="1"/>
          <c:showBubbleSize val="0"/>
          <c:showLeaderLines val="1"/>
        </c:dLbls>
      </c:pie3DChart>
    </c:plotArea>
    <c:legend>
      <c:legendPos val="r"/>
    </c:legend>
    <c:plotVisOnly val="1"/>
    <c:dispBlanksAs val="gap"/>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cs-CZ"/>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600"/>
              <a:t>Graf</a:t>
            </a:r>
            <a:r>
              <a:rPr lang="cs-CZ" sz="1600" baseline="0"/>
              <a:t> 2 - Četnosti odpovědí subjektů podle jejich typu</a:t>
            </a:r>
            <a:endParaRPr lang="cs-CZ" sz="1600"/>
          </a:p>
        </c:rich>
      </c:tx>
    </c:title>
    <c:view3D>
      <c:rAngAx val="1"/>
    </c:view3D>
    <c:floor>
      <c:thickness val="0"/>
    </c:floor>
    <c:sideWall>
      <c:thickness val="0"/>
    </c:sideWall>
    <c:backWall>
      <c:thickness val="0"/>
    </c:backWall>
    <c:plotArea>
      <c:bar3DChart>
        <c:barDir val="col"/>
        <c:grouping val="stacked"/>
        <c:varyColors val="0"/>
        <c:ser>
          <c:idx val="0"/>
          <c:order val="0"/>
          <c:tx>
            <c:strRef>
              <c:f>List2!$A$2</c:f>
              <c:strCache>
                <c:ptCount val="1"/>
                <c:pt idx="0">
                  <c:v>Banky</c:v>
                </c:pt>
              </c:strCache>
            </c:strRef>
          </c:tx>
          <c:cat>
            <c:strRef>
              <c:f>List2!$B$1:$D$1</c:f>
              <c:strCache>
                <c:ptCount val="3"/>
                <c:pt idx="0">
                  <c:v>A</c:v>
                </c:pt>
                <c:pt idx="1">
                  <c:v>B</c:v>
                </c:pt>
                <c:pt idx="2">
                  <c:v>C</c:v>
                </c:pt>
              </c:strCache>
            </c:strRef>
          </c:cat>
          <c:val>
            <c:numRef>
              <c:f>List2!$B$2:$D$2</c:f>
              <c:numCache>
                <c:formatCode>General</c:formatCode>
                <c:ptCount val="3"/>
                <c:pt idx="0">
                  <c:v>1</c:v>
                </c:pt>
                <c:pt idx="2">
                  <c:v>5</c:v>
                </c:pt>
              </c:numCache>
            </c:numRef>
          </c:val>
        </c:ser>
        <c:ser>
          <c:idx val="1"/>
          <c:order val="1"/>
          <c:tx>
            <c:strRef>
              <c:f>List2!$A$3</c:f>
              <c:strCache>
                <c:ptCount val="1"/>
                <c:pt idx="0">
                  <c:v>DZ</c:v>
                </c:pt>
              </c:strCache>
            </c:strRef>
          </c:tx>
          <c:cat>
            <c:strRef>
              <c:f>List2!$B$1:$D$1</c:f>
              <c:strCache>
                <c:ptCount val="3"/>
                <c:pt idx="0">
                  <c:v>A</c:v>
                </c:pt>
                <c:pt idx="1">
                  <c:v>B</c:v>
                </c:pt>
                <c:pt idx="2">
                  <c:v>C</c:v>
                </c:pt>
              </c:strCache>
            </c:strRef>
          </c:cat>
          <c:val>
            <c:numRef>
              <c:f>List2!$B$3:$D$3</c:f>
              <c:numCache>
                <c:formatCode>General</c:formatCode>
                <c:ptCount val="3"/>
                <c:pt idx="0">
                  <c:v>1</c:v>
                </c:pt>
                <c:pt idx="1">
                  <c:v>1</c:v>
                </c:pt>
                <c:pt idx="2">
                  <c:v>2</c:v>
                </c:pt>
              </c:numCache>
            </c:numRef>
          </c:val>
        </c:ser>
        <c:ser>
          <c:idx val="2"/>
          <c:order val="2"/>
          <c:tx>
            <c:strRef>
              <c:f>List2!$A$4</c:f>
              <c:strCache>
                <c:ptCount val="1"/>
                <c:pt idx="0">
                  <c:v>PI</c:v>
                </c:pt>
              </c:strCache>
            </c:strRef>
          </c:tx>
          <c:cat>
            <c:strRef>
              <c:f>List2!$B$1:$D$1</c:f>
              <c:strCache>
                <c:ptCount val="3"/>
                <c:pt idx="0">
                  <c:v>A</c:v>
                </c:pt>
                <c:pt idx="1">
                  <c:v>B</c:v>
                </c:pt>
                <c:pt idx="2">
                  <c:v>C</c:v>
                </c:pt>
              </c:strCache>
            </c:strRef>
          </c:cat>
          <c:val>
            <c:numRef>
              <c:f>List2!$B$4:$D$4</c:f>
              <c:numCache>
                <c:formatCode>General</c:formatCode>
                <c:ptCount val="3"/>
                <c:pt idx="0">
                  <c:v>2</c:v>
                </c:pt>
                <c:pt idx="1">
                  <c:v>2</c:v>
                </c:pt>
              </c:numCache>
            </c:numRef>
          </c:val>
        </c:ser>
        <c:ser>
          <c:idx val="3"/>
          <c:order val="3"/>
          <c:tx>
            <c:strRef>
              <c:f>List2!$A$5</c:f>
              <c:strCache>
                <c:ptCount val="1"/>
                <c:pt idx="0">
                  <c:v>PPMR</c:v>
                </c:pt>
              </c:strCache>
            </c:strRef>
          </c:tx>
          <c:cat>
            <c:strRef>
              <c:f>List2!$B$1:$D$1</c:f>
              <c:strCache>
                <c:ptCount val="3"/>
                <c:pt idx="0">
                  <c:v>A</c:v>
                </c:pt>
                <c:pt idx="1">
                  <c:v>B</c:v>
                </c:pt>
                <c:pt idx="2">
                  <c:v>C</c:v>
                </c:pt>
              </c:strCache>
            </c:strRef>
          </c:cat>
          <c:val>
            <c:numRef>
              <c:f>List2!$B$5:$D$5</c:f>
              <c:numCache>
                <c:formatCode>General</c:formatCode>
                <c:ptCount val="3"/>
                <c:pt idx="0">
                  <c:v>4</c:v>
                </c:pt>
                <c:pt idx="2">
                  <c:v>1</c:v>
                </c:pt>
              </c:numCache>
            </c:numRef>
          </c:val>
        </c:ser>
        <c:ser>
          <c:idx val="4"/>
          <c:order val="4"/>
          <c:tx>
            <c:strRef>
              <c:f>List2!$A$6</c:f>
              <c:strCache>
                <c:ptCount val="1"/>
                <c:pt idx="0">
                  <c:v>VEPMR</c:v>
                </c:pt>
              </c:strCache>
            </c:strRef>
          </c:tx>
          <c:cat>
            <c:strRef>
              <c:f>List2!$B$1:$D$1</c:f>
              <c:strCache>
                <c:ptCount val="3"/>
                <c:pt idx="0">
                  <c:v>A</c:v>
                </c:pt>
                <c:pt idx="1">
                  <c:v>B</c:v>
                </c:pt>
                <c:pt idx="2">
                  <c:v>C</c:v>
                </c:pt>
              </c:strCache>
            </c:strRef>
          </c:cat>
          <c:val>
            <c:numRef>
              <c:f>List2!$B$6:$D$6</c:f>
              <c:numCache>
                <c:formatCode>General</c:formatCode>
                <c:ptCount val="3"/>
                <c:pt idx="0">
                  <c:v>1</c:v>
                </c:pt>
              </c:numCache>
            </c:numRef>
          </c:val>
        </c:ser>
        <c:ser>
          <c:idx val="5"/>
          <c:order val="5"/>
          <c:tx>
            <c:strRef>
              <c:f>List2!$A$7</c:f>
              <c:strCache>
                <c:ptCount val="1"/>
                <c:pt idx="0">
                  <c:v>GSFT</c:v>
                </c:pt>
              </c:strCache>
            </c:strRef>
          </c:tx>
          <c:cat>
            <c:strRef>
              <c:f>List2!$B$1:$D$1</c:f>
              <c:strCache>
                <c:ptCount val="3"/>
                <c:pt idx="0">
                  <c:v>A</c:v>
                </c:pt>
                <c:pt idx="1">
                  <c:v>B</c:v>
                </c:pt>
                <c:pt idx="2">
                  <c:v>C</c:v>
                </c:pt>
              </c:strCache>
            </c:strRef>
          </c:cat>
          <c:val>
            <c:numRef>
              <c:f>List2!$B$7:$D$7</c:f>
              <c:numCache>
                <c:formatCode>General</c:formatCode>
                <c:ptCount val="3"/>
                <c:pt idx="2">
                  <c:v>1</c:v>
                </c:pt>
              </c:numCache>
            </c:numRef>
          </c:val>
        </c:ser>
        <c:dLbls>
          <c:showLegendKey val="0"/>
          <c:showVal val="0"/>
          <c:showCatName val="0"/>
          <c:showSerName val="0"/>
          <c:showPercent val="0"/>
          <c:showBubbleSize val="0"/>
        </c:dLbls>
        <c:gapWidth val="55"/>
        <c:gapDepth val="55"/>
        <c:shape val="box"/>
        <c:axId val="128429440"/>
        <c:axId val="128435328"/>
        <c:axId val="0"/>
      </c:bar3DChart>
      <c:catAx>
        <c:axId val="128429440"/>
        <c:scaling>
          <c:orientation val="minMax"/>
        </c:scaling>
        <c:axPos val="b"/>
        <c:majorTickMark val="none"/>
        <c:minorTickMark val="none"/>
        <c:tickLblPos val="nextTo"/>
        <c:crossAx val="128435328"/>
        <c:crosses val="autoZero"/>
        <c:auto val="1"/>
        <c:lblAlgn val="ctr"/>
        <c:lblOffset val="100"/>
      </c:catAx>
      <c:valAx>
        <c:axId val="128435328"/>
        <c:scaling>
          <c:orientation val="minMax"/>
        </c:scaling>
        <c:axPos val="l"/>
        <c:majorGridlines/>
        <c:numFmt formatCode="General" sourceLinked="1"/>
        <c:majorTickMark val="none"/>
        <c:minorTickMark val="none"/>
        <c:tickLblPos val="nextTo"/>
        <c:crossAx val="128429440"/>
        <c:crosses val="autoZero"/>
        <c:crossBetween val="between"/>
      </c:valAx>
    </c:plotArea>
    <c:legend>
      <c:legendPos val="r"/>
    </c:legend>
    <c:plotVisOnly val="1"/>
    <c:dispBlanksAs val="gap"/>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0794-CC7D-469C-9847-573E367C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983</Words>
  <Characters>5801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2018-10-19T11:35:00Z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-922169303</vt:i4>
  </property>
  <property fmtid="{D5CDD505-2E9C-101B-9397-08002B2CF9AE}" pid="3" name="_AuthorEmail">
    <vt:lpwstr>Marek.Novohradsky@mfcr.cz</vt:lpwstr>
  </property>
  <property fmtid="{D5CDD505-2E9C-101B-9397-08002B2CF9AE}" pid="4" name="_AuthorEmailDisplayName">
    <vt:lpwstr>Novohradský Marek Ing.</vt:lpwstr>
  </property>
  <property fmtid="{D5CDD505-2E9C-101B-9397-08002B2CF9AE}" pid="5" name="_EmailSubject">
    <vt:lpwstr>Žádost o zveřejnění vyhodnocení veřejné konzultace na webu MF</vt:lpwstr>
  </property>
  <property fmtid="{D5CDD505-2E9C-101B-9397-08002B2CF9AE}" pid="6" name="_NewReviewCycle">
    <vt:lpwstr/>
  </property>
  <property fmtid="{D5CDD505-2E9C-101B-9397-08002B2CF9AE}" pid="7" name="_PreviousAdHocReviewCycleID">
    <vt:i4>1179308471</vt:i4>
  </property>
</Properties>
</file>