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A4F" w:rsidRDefault="00027A4F" w:rsidP="00027A4F">
      <w:pPr>
        <w:jc w:val="right"/>
        <w:rPr>
          <w:b/>
          <w:lang w:eastAsia="cs-CZ"/>
        </w:rPr>
      </w:pPr>
      <w:bookmarkStart w:id="0" w:name="_GoBack"/>
      <w:bookmarkEnd w:id="0"/>
      <w:r>
        <w:rPr>
          <w:b/>
          <w:lang w:eastAsia="cs-CZ"/>
        </w:rPr>
        <w:tab/>
      </w:r>
      <w:r>
        <w:rPr>
          <w:b/>
          <w:lang w:eastAsia="cs-CZ"/>
        </w:rPr>
        <w:tab/>
        <w:t>III.</w:t>
      </w:r>
    </w:p>
    <w:p w:rsidR="00027A4F" w:rsidRPr="0006056A" w:rsidRDefault="0006056A" w:rsidP="0006056A">
      <w:pPr>
        <w:rPr>
          <w:b/>
          <w:lang w:eastAsia="cs-CZ"/>
        </w:rPr>
      </w:pPr>
      <w:r w:rsidRPr="0006056A">
        <w:rPr>
          <w:b/>
          <w:lang w:eastAsia="cs-CZ"/>
        </w:rPr>
        <w:t xml:space="preserve">Návrh komodit určených pro </w:t>
      </w:r>
      <w:r w:rsidR="00FF157D">
        <w:rPr>
          <w:b/>
          <w:lang w:eastAsia="cs-CZ"/>
        </w:rPr>
        <w:t>standardizaci</w:t>
      </w:r>
      <w:r w:rsidRPr="0006056A">
        <w:rPr>
          <w:b/>
          <w:lang w:eastAsia="cs-CZ"/>
        </w:rPr>
        <w:t xml:space="preserve"> a </w:t>
      </w:r>
      <w:r w:rsidR="00FF157D">
        <w:rPr>
          <w:b/>
          <w:lang w:eastAsia="cs-CZ"/>
        </w:rPr>
        <w:t xml:space="preserve">návrh </w:t>
      </w:r>
      <w:r w:rsidRPr="0006056A">
        <w:rPr>
          <w:b/>
          <w:lang w:eastAsia="cs-CZ"/>
        </w:rPr>
        <w:t>pravidel centrálního nákupu státu</w:t>
      </w:r>
    </w:p>
    <w:p w:rsidR="007444E9" w:rsidRDefault="007444E9" w:rsidP="007444E9">
      <w:pPr>
        <w:rPr>
          <w:lang w:eastAsia="cs-CZ"/>
        </w:rPr>
      </w:pPr>
      <w:r>
        <w:rPr>
          <w:lang w:eastAsia="cs-CZ"/>
        </w:rPr>
        <w:t>Pro komodity související s provozem ústředních orgánů státní správy a jejich podřízených organizací</w:t>
      </w:r>
      <w:r>
        <w:rPr>
          <w:rStyle w:val="Znakapoznpodarou"/>
          <w:rFonts w:ascii="Times New Roman" w:hAnsi="Times New Roman"/>
          <w:sz w:val="24"/>
        </w:rPr>
        <w:footnoteReference w:id="1"/>
      </w:r>
      <w:r>
        <w:rPr>
          <w:lang w:eastAsia="cs-CZ"/>
        </w:rPr>
        <w:t xml:space="preserve"> Ministerstvo financí stanoví závazný technický standard na základě jednání s ostatními ústředními orgány státní správy, v jejichž čele stojí člen vlády. Tento standard bude sloužit jako východisko pro zadávání v rámci stávajících resortních systémů centralizovaného zadávání dle usnesení vlády č. 563 ze dne 20. července 2011 k resortním systémům centralizovaného zadávání veřejných zakázek ústředních orgánů státní správy, případně i jako východisko pro společné centralizované zadávací řízení realizované ministerstvem financí jako centrálním zadavatelem dle § 3, odst. 1 zákona č. 137/2006 Sb.</w:t>
      </w:r>
      <w:r w:rsidRPr="00B53CD6">
        <w:rPr>
          <w:lang w:eastAsia="cs-CZ"/>
        </w:rPr>
        <w:t>, o veřejných zakázkách</w:t>
      </w:r>
      <w:r>
        <w:rPr>
          <w:lang w:eastAsia="cs-CZ"/>
        </w:rPr>
        <w:t xml:space="preserve">, pakliže se takový postup prokáže jako hospodárný a účelný a shodnou se na něm alespoň dva resorty. </w:t>
      </w:r>
    </w:p>
    <w:p w:rsidR="007444E9" w:rsidRDefault="007444E9" w:rsidP="007444E9">
      <w:pPr>
        <w:spacing w:before="120"/>
        <w:rPr>
          <w:noProof/>
          <w:lang w:eastAsia="cs-CZ"/>
        </w:rPr>
      </w:pPr>
      <w:r>
        <w:rPr>
          <w:lang w:eastAsia="cs-CZ"/>
        </w:rPr>
        <w:t xml:space="preserve">V případě shody na společném zadávání mezi více resorty bude toto centralizované zadávací řízení probíhat na základě písemné smlouvy, kterou před zahájením centralizovaného zadávání uzavře Ministerstvo financí jako centrální zadavatel s dalšími resorty a jejich podřízenými organizacemi jako pověřujícími zadavateli a ve které Ministerstvo financí a tito pověřující zadavatelé upraví svá vzájemná práva a povinnosti v souvislosti s tímto centralizovaným zadáváním.  </w:t>
      </w:r>
    </w:p>
    <w:p w:rsidR="007444E9" w:rsidRDefault="007444E9" w:rsidP="007444E9">
      <w:pPr>
        <w:spacing w:before="120"/>
        <w:rPr>
          <w:lang w:eastAsia="cs-CZ"/>
        </w:rPr>
      </w:pPr>
      <w:r>
        <w:rPr>
          <w:lang w:eastAsia="cs-CZ"/>
        </w:rPr>
        <w:t xml:space="preserve">Komodity mimo společně stanovený technický standard, jejichž poptávku nebude možné </w:t>
      </w:r>
      <w:r w:rsidR="00462FB9">
        <w:rPr>
          <w:lang w:eastAsia="cs-CZ"/>
        </w:rPr>
        <w:br/>
      </w:r>
      <w:r>
        <w:rPr>
          <w:lang w:eastAsia="cs-CZ"/>
        </w:rPr>
        <w:t xml:space="preserve">na základě analýzy potřeb jednotlivých resortů pokládat za průřezovou, budou ponechány pro nákup na úrovni jednotlivých resortů (pokud spadají do výčtu komodit určených usnesením vlády č. 930 ze dne 14. prosince 2011 pro zadávání v rámci resortních systémů centralizovaného zadávání) nebo na úrovni jednotlivých organizací. </w:t>
      </w:r>
    </w:p>
    <w:p w:rsidR="007444E9" w:rsidRDefault="007444E9" w:rsidP="007444E9">
      <w:pPr>
        <w:spacing w:before="120"/>
        <w:rPr>
          <w:lang w:eastAsia="cs-CZ"/>
        </w:rPr>
      </w:pPr>
      <w:r>
        <w:rPr>
          <w:lang w:eastAsia="cs-CZ"/>
        </w:rPr>
        <w:t xml:space="preserve">Stávající postup daný usnesením vlády č. 563 ze dne 20. července 2011 a usnesením vlády č. 930 ze dne 14. prosince 2011 o resortních systémech centralizovaného zadávání zůstane zachován rovněž v případě, že se bude jednat o komodity v rámci stanoveného technického standardu, pro které společné meziresortní centralizované zadávací řízení nebude organizováno nebo </w:t>
      </w:r>
      <w:r w:rsidR="00462FB9">
        <w:rPr>
          <w:lang w:eastAsia="cs-CZ"/>
        </w:rPr>
        <w:br/>
      </w:r>
      <w:r>
        <w:rPr>
          <w:lang w:eastAsia="cs-CZ"/>
        </w:rPr>
        <w:t xml:space="preserve">se k němu daný resort nepřipojí. </w:t>
      </w:r>
    </w:p>
    <w:p w:rsidR="006B62C3" w:rsidRPr="0006056A" w:rsidRDefault="006B62C3" w:rsidP="00462FB9">
      <w:pPr>
        <w:pStyle w:val="Odstavecseseznamem"/>
        <w:numPr>
          <w:ilvl w:val="0"/>
          <w:numId w:val="35"/>
        </w:numPr>
        <w:ind w:hanging="218"/>
        <w:rPr>
          <w:b/>
          <w:lang w:eastAsia="cs-CZ"/>
        </w:rPr>
      </w:pPr>
      <w:r w:rsidRPr="0006056A">
        <w:rPr>
          <w:b/>
          <w:lang w:eastAsia="cs-CZ"/>
        </w:rPr>
        <w:t xml:space="preserve">Návrh seznamu komodit určených pro </w:t>
      </w:r>
      <w:r w:rsidR="00FF157D">
        <w:rPr>
          <w:b/>
          <w:lang w:eastAsia="cs-CZ"/>
        </w:rPr>
        <w:t>standardizaci</w:t>
      </w:r>
    </w:p>
    <w:p w:rsidR="00F07993" w:rsidRPr="002B7BFD" w:rsidRDefault="00B82BBC" w:rsidP="00F07993">
      <w:pPr>
        <w:spacing w:before="240"/>
        <w:rPr>
          <w:noProof/>
          <w:lang w:eastAsia="cs-CZ"/>
        </w:rPr>
      </w:pPr>
      <w:r>
        <w:rPr>
          <w:noProof/>
          <w:lang w:eastAsia="cs-CZ"/>
        </w:rPr>
        <w:t>Rozsah</w:t>
      </w:r>
      <w:r w:rsidR="00FF57B0">
        <w:rPr>
          <w:noProof/>
          <w:lang w:eastAsia="cs-CZ"/>
        </w:rPr>
        <w:t xml:space="preserve"> </w:t>
      </w:r>
      <w:r>
        <w:rPr>
          <w:noProof/>
          <w:lang w:eastAsia="cs-CZ"/>
        </w:rPr>
        <w:t xml:space="preserve">komodit, u kterých bude </w:t>
      </w:r>
      <w:r w:rsidR="00410FE7">
        <w:rPr>
          <w:noProof/>
          <w:lang w:eastAsia="cs-CZ"/>
        </w:rPr>
        <w:t>probíhat meziresortní spolupráce v oblasti</w:t>
      </w:r>
      <w:r>
        <w:rPr>
          <w:noProof/>
          <w:lang w:eastAsia="cs-CZ"/>
        </w:rPr>
        <w:t xml:space="preserve"> </w:t>
      </w:r>
      <w:r w:rsidR="00FF57B0">
        <w:rPr>
          <w:noProof/>
          <w:lang w:eastAsia="cs-CZ"/>
        </w:rPr>
        <w:t xml:space="preserve">standardizace </w:t>
      </w:r>
      <w:r w:rsidR="00462FB9">
        <w:rPr>
          <w:noProof/>
          <w:lang w:eastAsia="cs-CZ"/>
        </w:rPr>
        <w:br/>
      </w:r>
      <w:r w:rsidR="00FF57B0">
        <w:rPr>
          <w:noProof/>
          <w:lang w:eastAsia="cs-CZ"/>
        </w:rPr>
        <w:t xml:space="preserve">a </w:t>
      </w:r>
      <w:r w:rsidR="00484ED2">
        <w:rPr>
          <w:noProof/>
          <w:lang w:eastAsia="cs-CZ"/>
        </w:rPr>
        <w:t>případn</w:t>
      </w:r>
      <w:r w:rsidR="00410FE7">
        <w:rPr>
          <w:noProof/>
          <w:lang w:eastAsia="cs-CZ"/>
        </w:rPr>
        <w:t>é</w:t>
      </w:r>
      <w:r w:rsidR="00484ED2">
        <w:rPr>
          <w:noProof/>
          <w:lang w:eastAsia="cs-CZ"/>
        </w:rPr>
        <w:t xml:space="preserve"> následné</w:t>
      </w:r>
      <w:r w:rsidR="00410FE7">
        <w:rPr>
          <w:noProof/>
          <w:lang w:eastAsia="cs-CZ"/>
        </w:rPr>
        <w:t xml:space="preserve"> </w:t>
      </w:r>
      <w:r w:rsidR="00484ED2">
        <w:rPr>
          <w:noProof/>
          <w:lang w:eastAsia="cs-CZ"/>
        </w:rPr>
        <w:t>centralizované zadáv</w:t>
      </w:r>
      <w:r w:rsidR="00752D86">
        <w:rPr>
          <w:noProof/>
          <w:lang w:eastAsia="cs-CZ"/>
        </w:rPr>
        <w:t>ací řízení</w:t>
      </w:r>
      <w:r w:rsidR="00410FE7">
        <w:rPr>
          <w:noProof/>
          <w:lang w:eastAsia="cs-CZ"/>
        </w:rPr>
        <w:t>,</w:t>
      </w:r>
      <w:r w:rsidR="00484ED2">
        <w:rPr>
          <w:noProof/>
          <w:lang w:eastAsia="cs-CZ"/>
        </w:rPr>
        <w:t xml:space="preserve"> </w:t>
      </w:r>
      <w:r w:rsidR="00FF57B0">
        <w:rPr>
          <w:noProof/>
          <w:lang w:eastAsia="cs-CZ"/>
        </w:rPr>
        <w:t>se bude</w:t>
      </w:r>
      <w:r>
        <w:rPr>
          <w:noProof/>
          <w:lang w:eastAsia="cs-CZ"/>
        </w:rPr>
        <w:t xml:space="preserve"> pohybovat v rámci</w:t>
      </w:r>
      <w:r w:rsidR="00B93994">
        <w:rPr>
          <w:noProof/>
          <w:lang w:eastAsia="cs-CZ"/>
        </w:rPr>
        <w:t xml:space="preserve"> </w:t>
      </w:r>
      <w:r w:rsidR="005C0356">
        <w:rPr>
          <w:noProof/>
          <w:lang w:eastAsia="cs-CZ"/>
        </w:rPr>
        <w:t>skupin</w:t>
      </w:r>
      <w:r w:rsidR="00B93994">
        <w:rPr>
          <w:noProof/>
          <w:lang w:eastAsia="cs-CZ"/>
        </w:rPr>
        <w:t xml:space="preserve"> číselníku NIPEZ</w:t>
      </w:r>
      <w:r w:rsidR="002D4E15">
        <w:rPr>
          <w:rStyle w:val="Znakapoznpodarou"/>
          <w:noProof/>
          <w:lang w:eastAsia="cs-CZ"/>
        </w:rPr>
        <w:footnoteReference w:id="2"/>
      </w:r>
      <w:r w:rsidR="00B93994">
        <w:rPr>
          <w:noProof/>
          <w:lang w:eastAsia="cs-CZ"/>
        </w:rPr>
        <w:t xml:space="preserve"> </w:t>
      </w:r>
      <w:r>
        <w:rPr>
          <w:noProof/>
          <w:lang w:eastAsia="cs-CZ"/>
        </w:rPr>
        <w:t xml:space="preserve">uvedených </w:t>
      </w:r>
      <w:r w:rsidR="00B93994">
        <w:rPr>
          <w:noProof/>
          <w:lang w:eastAsia="cs-CZ"/>
        </w:rPr>
        <w:t>v</w:t>
      </w:r>
      <w:r w:rsidR="000349DF">
        <w:rPr>
          <w:noProof/>
          <w:lang w:eastAsia="cs-CZ"/>
        </w:rPr>
        <w:t> </w:t>
      </w:r>
      <w:r w:rsidR="00B93994">
        <w:rPr>
          <w:noProof/>
          <w:lang w:eastAsia="cs-CZ"/>
        </w:rPr>
        <w:t>tabulce</w:t>
      </w:r>
      <w:r w:rsidR="000349DF">
        <w:rPr>
          <w:noProof/>
          <w:lang w:eastAsia="cs-CZ"/>
        </w:rPr>
        <w:t xml:space="preserve"> níže</w:t>
      </w:r>
      <w:r w:rsidR="00B93994">
        <w:rPr>
          <w:noProof/>
          <w:lang w:eastAsia="cs-CZ"/>
        </w:rPr>
        <w:t xml:space="preserve"> </w:t>
      </w:r>
      <w:r w:rsidR="00484ED2">
        <w:rPr>
          <w:noProof/>
          <w:lang w:eastAsia="cs-CZ"/>
        </w:rPr>
        <w:t xml:space="preserve">a </w:t>
      </w:r>
      <w:r>
        <w:rPr>
          <w:noProof/>
          <w:lang w:eastAsia="cs-CZ"/>
        </w:rPr>
        <w:t>p</w:t>
      </w:r>
      <w:r w:rsidR="00B93994">
        <w:rPr>
          <w:noProof/>
          <w:lang w:eastAsia="cs-CZ"/>
        </w:rPr>
        <w:t>olož</w:t>
      </w:r>
      <w:r>
        <w:rPr>
          <w:noProof/>
          <w:lang w:eastAsia="cs-CZ"/>
        </w:rPr>
        <w:t>e</w:t>
      </w:r>
      <w:r w:rsidR="00B93994">
        <w:rPr>
          <w:noProof/>
          <w:lang w:eastAsia="cs-CZ"/>
        </w:rPr>
        <w:t>k jim podřízen</w:t>
      </w:r>
      <w:r>
        <w:rPr>
          <w:noProof/>
          <w:lang w:eastAsia="cs-CZ"/>
        </w:rPr>
        <w:t>ých</w:t>
      </w:r>
      <w:r w:rsidR="00B93994">
        <w:rPr>
          <w:noProof/>
          <w:lang w:eastAsia="cs-CZ"/>
        </w:rPr>
        <w:t xml:space="preserve">. </w:t>
      </w:r>
    </w:p>
    <w:p w:rsidR="00E731F5" w:rsidRDefault="00E731F5" w:rsidP="00E731F5">
      <w:pPr>
        <w:rPr>
          <w:lang w:eastAsia="cs-CZ"/>
        </w:rPr>
      </w:pPr>
      <w:r>
        <w:rPr>
          <w:lang w:eastAsia="cs-CZ"/>
        </w:rPr>
        <w:t>Jedná se o rámcový výčet – není tedy stanoveno, že závazný technický standard musí být nakonec určen u všech komodit nebo pro všechny položky zahrnuté v rámci dané komodity (z</w:t>
      </w:r>
      <w:r>
        <w:rPr>
          <w:szCs w:val="22"/>
        </w:rPr>
        <w:t xml:space="preserve">ávazný technický standard se může týkat </w:t>
      </w:r>
      <w:r w:rsidRPr="005F6380">
        <w:rPr>
          <w:szCs w:val="22"/>
        </w:rPr>
        <w:t>jednotlivých součástí či předmětů z dané komodity</w:t>
      </w:r>
      <w:r>
        <w:rPr>
          <w:szCs w:val="22"/>
        </w:rPr>
        <w:t>).</w:t>
      </w:r>
      <w:r w:rsidRPr="00E731F5">
        <w:rPr>
          <w:lang w:eastAsia="cs-CZ"/>
        </w:rPr>
        <w:t xml:space="preserve"> </w:t>
      </w:r>
    </w:p>
    <w:tbl>
      <w:tblPr>
        <w:tblW w:w="5000" w:type="pct"/>
        <w:tblLayout w:type="fixed"/>
        <w:tblCellMar>
          <w:left w:w="70" w:type="dxa"/>
          <w:right w:w="70" w:type="dxa"/>
        </w:tblCellMar>
        <w:tblLook w:val="04A0" w:firstRow="1" w:lastRow="0" w:firstColumn="1" w:lastColumn="0" w:noHBand="0" w:noVBand="1"/>
      </w:tblPr>
      <w:tblGrid>
        <w:gridCol w:w="7158"/>
        <w:gridCol w:w="2054"/>
      </w:tblGrid>
      <w:tr w:rsidR="00CA3B97" w:rsidRPr="00D624F9" w:rsidTr="00733DBD">
        <w:trPr>
          <w:trHeight w:val="300"/>
          <w:tblHeader/>
        </w:trPr>
        <w:tc>
          <w:tcPr>
            <w:tcW w:w="3885" w:type="pct"/>
            <w:tcBorders>
              <w:top w:val="nil"/>
              <w:left w:val="nil"/>
              <w:right w:val="nil"/>
            </w:tcBorders>
            <w:shd w:val="clear" w:color="2DB9FF" w:fill="2DB9FF"/>
            <w:noWrap/>
            <w:vAlign w:val="center"/>
          </w:tcPr>
          <w:p w:rsidR="00CA3B97" w:rsidRPr="00D624F9" w:rsidRDefault="00CA3B97" w:rsidP="00733DBD">
            <w:pPr>
              <w:spacing w:after="0" w:line="240" w:lineRule="auto"/>
              <w:jc w:val="left"/>
              <w:rPr>
                <w:rFonts w:ascii="Calibri" w:eastAsia="Times New Roman" w:hAnsi="Calibri" w:cs="Times New Roman"/>
                <w:b/>
                <w:bCs/>
                <w:color w:val="FFFFFF"/>
                <w:lang w:eastAsia="cs-CZ"/>
              </w:rPr>
            </w:pPr>
            <w:r>
              <w:rPr>
                <w:rFonts w:ascii="Calibri" w:eastAsia="Times New Roman" w:hAnsi="Calibri" w:cs="Times New Roman"/>
                <w:b/>
                <w:bCs/>
                <w:color w:val="FFFFFF"/>
                <w:lang w:eastAsia="cs-CZ"/>
              </w:rPr>
              <w:lastRenderedPageBreak/>
              <w:t xml:space="preserve">Kategorie / výčet komodit </w:t>
            </w:r>
            <w:r w:rsidR="007640E4">
              <w:rPr>
                <w:rFonts w:ascii="Calibri" w:eastAsia="Times New Roman" w:hAnsi="Calibri" w:cs="Times New Roman"/>
                <w:b/>
                <w:bCs/>
                <w:color w:val="FFFFFF"/>
                <w:lang w:eastAsia="cs-CZ"/>
              </w:rPr>
              <w:t xml:space="preserve">v jednotlivých kategoriích </w:t>
            </w:r>
            <w:r>
              <w:rPr>
                <w:rFonts w:ascii="Calibri" w:eastAsia="Times New Roman" w:hAnsi="Calibri" w:cs="Times New Roman"/>
                <w:b/>
                <w:bCs/>
                <w:color w:val="FFFFFF"/>
                <w:lang w:eastAsia="cs-CZ"/>
              </w:rPr>
              <w:t xml:space="preserve">podle číselníku NIPEZ </w:t>
            </w:r>
          </w:p>
        </w:tc>
        <w:tc>
          <w:tcPr>
            <w:tcW w:w="1115" w:type="pct"/>
            <w:tcBorders>
              <w:top w:val="nil"/>
              <w:left w:val="nil"/>
              <w:right w:val="nil"/>
            </w:tcBorders>
            <w:shd w:val="clear" w:color="2DB9FF" w:fill="2DB9FF"/>
            <w:vAlign w:val="center"/>
          </w:tcPr>
          <w:p w:rsidR="00CA3B97" w:rsidRPr="00D624F9" w:rsidRDefault="005C0356" w:rsidP="00733DBD">
            <w:pPr>
              <w:spacing w:after="0" w:line="240" w:lineRule="auto"/>
              <w:jc w:val="center"/>
              <w:rPr>
                <w:rFonts w:ascii="Calibri" w:eastAsia="Times New Roman" w:hAnsi="Calibri" w:cs="Times New Roman"/>
                <w:b/>
                <w:bCs/>
                <w:color w:val="FFFFFF"/>
                <w:lang w:eastAsia="cs-CZ"/>
              </w:rPr>
            </w:pPr>
            <w:r>
              <w:rPr>
                <w:rFonts w:ascii="Calibri" w:eastAsia="Times New Roman" w:hAnsi="Calibri" w:cs="Times New Roman"/>
                <w:b/>
                <w:bCs/>
                <w:color w:val="FFFFFF"/>
                <w:lang w:eastAsia="cs-CZ"/>
              </w:rPr>
              <w:t>Kód skupin dle číselníku NIPEZ</w:t>
            </w:r>
          </w:p>
        </w:tc>
      </w:tr>
      <w:tr w:rsidR="00CA3B97" w:rsidRPr="006F7700" w:rsidTr="00733DBD">
        <w:trPr>
          <w:trHeight w:val="300"/>
        </w:trPr>
        <w:tc>
          <w:tcPr>
            <w:tcW w:w="5000" w:type="pct"/>
            <w:gridSpan w:val="2"/>
            <w:tcBorders>
              <w:top w:val="nil"/>
              <w:left w:val="nil"/>
              <w:bottom w:val="nil"/>
              <w:right w:val="nil"/>
            </w:tcBorders>
            <w:shd w:val="clear" w:color="2DB9FF" w:fill="D5F1FF" w:themeFill="accent2" w:themeFillTint="33"/>
            <w:noWrap/>
            <w:vAlign w:val="center"/>
            <w:hideMark/>
          </w:tcPr>
          <w:p w:rsidR="00CA3B97" w:rsidRPr="006F7700" w:rsidRDefault="00B73402" w:rsidP="00733DBD">
            <w:pPr>
              <w:spacing w:after="0" w:line="240" w:lineRule="auto"/>
              <w:jc w:val="left"/>
              <w:rPr>
                <w:rFonts w:ascii="Calibri" w:eastAsia="Times New Roman" w:hAnsi="Calibri" w:cs="Times New Roman"/>
                <w:b/>
                <w:bCs/>
                <w:lang w:eastAsia="cs-CZ"/>
              </w:rPr>
            </w:pPr>
            <w:r>
              <w:rPr>
                <w:rFonts w:ascii="Calibri" w:eastAsia="Times New Roman" w:hAnsi="Calibri" w:cs="Times New Roman"/>
                <w:b/>
                <w:bCs/>
                <w:lang w:eastAsia="cs-CZ"/>
              </w:rPr>
              <w:t xml:space="preserve">1. </w:t>
            </w:r>
            <w:r w:rsidR="00CA3B97" w:rsidRPr="006F7700">
              <w:rPr>
                <w:rFonts w:ascii="Calibri" w:eastAsia="Times New Roman" w:hAnsi="Calibri" w:cs="Times New Roman"/>
                <w:b/>
                <w:bCs/>
                <w:lang w:eastAsia="cs-CZ"/>
              </w:rPr>
              <w:t>ICT komodity</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Mobilní telefony a příslušenství</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08</w:t>
            </w:r>
          </w:p>
        </w:tc>
      </w:tr>
      <w:tr w:rsidR="00CA3B97" w:rsidRPr="00D624F9" w:rsidTr="00733DBD">
        <w:trPr>
          <w:trHeight w:val="300"/>
        </w:trPr>
        <w:tc>
          <w:tcPr>
            <w:tcW w:w="388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Počítače a stroje na zpracování dat a datová média</w:t>
            </w:r>
          </w:p>
        </w:tc>
        <w:tc>
          <w:tcPr>
            <w:tcW w:w="111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06</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Přístroje a zařízení pro radiokomunikace</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34</w:t>
            </w:r>
          </w:p>
        </w:tc>
      </w:tr>
      <w:tr w:rsidR="00CA3B97" w:rsidRPr="00D624F9" w:rsidTr="00733DBD">
        <w:trPr>
          <w:trHeight w:val="300"/>
        </w:trPr>
        <w:tc>
          <w:tcPr>
            <w:tcW w:w="3885" w:type="pct"/>
            <w:tcBorders>
              <w:top w:val="nil"/>
              <w:left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Telekomunikační služby a Internetové služby</w:t>
            </w:r>
          </w:p>
        </w:tc>
        <w:tc>
          <w:tcPr>
            <w:tcW w:w="1115" w:type="pct"/>
            <w:tcBorders>
              <w:top w:val="nil"/>
              <w:left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52</w:t>
            </w:r>
          </w:p>
        </w:tc>
      </w:tr>
      <w:tr w:rsidR="00CA3B97" w:rsidRPr="006F7700" w:rsidTr="00733DBD">
        <w:trPr>
          <w:trHeight w:val="300"/>
        </w:trPr>
        <w:tc>
          <w:tcPr>
            <w:tcW w:w="5000" w:type="pct"/>
            <w:gridSpan w:val="2"/>
            <w:tcBorders>
              <w:top w:val="nil"/>
              <w:left w:val="nil"/>
              <w:bottom w:val="nil"/>
              <w:right w:val="nil"/>
            </w:tcBorders>
            <w:shd w:val="clear" w:color="2DB9FF" w:fill="D5F1FF" w:themeFill="accent2" w:themeFillTint="33"/>
            <w:noWrap/>
            <w:vAlign w:val="center"/>
            <w:hideMark/>
          </w:tcPr>
          <w:p w:rsidR="00CA3B97" w:rsidRPr="006F7700" w:rsidRDefault="00B73402" w:rsidP="00733DBD">
            <w:pPr>
              <w:spacing w:after="0" w:line="240" w:lineRule="auto"/>
              <w:jc w:val="left"/>
              <w:rPr>
                <w:rFonts w:ascii="Calibri" w:eastAsia="Times New Roman" w:hAnsi="Calibri" w:cs="Times New Roman"/>
                <w:b/>
                <w:bCs/>
                <w:lang w:eastAsia="cs-CZ"/>
              </w:rPr>
            </w:pPr>
            <w:r>
              <w:rPr>
                <w:rFonts w:ascii="Calibri" w:eastAsia="Times New Roman" w:hAnsi="Calibri" w:cs="Times New Roman"/>
                <w:b/>
                <w:bCs/>
                <w:lang w:eastAsia="cs-CZ"/>
              </w:rPr>
              <w:t xml:space="preserve">2. </w:t>
            </w:r>
            <w:r w:rsidR="00CA3B97" w:rsidRPr="006F7700">
              <w:rPr>
                <w:rFonts w:ascii="Calibri" w:eastAsia="Times New Roman" w:hAnsi="Calibri" w:cs="Times New Roman"/>
                <w:b/>
                <w:bCs/>
                <w:lang w:eastAsia="cs-CZ"/>
              </w:rPr>
              <w:t>Vozový park a pohonné hmoty</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Díly a příslušenství pro motorová vozidla</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23</w:t>
            </w:r>
          </w:p>
        </w:tc>
      </w:tr>
      <w:tr w:rsidR="00CA3B97" w:rsidRPr="00D624F9" w:rsidTr="00733DBD">
        <w:trPr>
          <w:trHeight w:val="300"/>
        </w:trPr>
        <w:tc>
          <w:tcPr>
            <w:tcW w:w="388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Opravy a údržba motorových vozidel a příslušenství k nim</w:t>
            </w:r>
          </w:p>
        </w:tc>
        <w:tc>
          <w:tcPr>
            <w:tcW w:w="111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46</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Ostatní dopravní prostředky a zařízení</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24</w:t>
            </w:r>
          </w:p>
        </w:tc>
      </w:tr>
      <w:tr w:rsidR="00CA3B97" w:rsidRPr="00D624F9" w:rsidTr="00733DBD">
        <w:trPr>
          <w:trHeight w:val="300"/>
        </w:trPr>
        <w:tc>
          <w:tcPr>
            <w:tcW w:w="388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Pohonné hmoty a maziva</w:t>
            </w:r>
          </w:p>
        </w:tc>
        <w:tc>
          <w:tcPr>
            <w:tcW w:w="111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02</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Pronájem dopravních prostředků</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42</w:t>
            </w:r>
          </w:p>
        </w:tc>
      </w:tr>
      <w:tr w:rsidR="00CA3B97" w:rsidRPr="00D624F9" w:rsidTr="00733DBD">
        <w:trPr>
          <w:trHeight w:val="300"/>
        </w:trPr>
        <w:tc>
          <w:tcPr>
            <w:tcW w:w="3885" w:type="pct"/>
            <w:tcBorders>
              <w:top w:val="nil"/>
              <w:left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Silniční motorová vozidla</w:t>
            </w:r>
          </w:p>
        </w:tc>
        <w:tc>
          <w:tcPr>
            <w:tcW w:w="1115" w:type="pct"/>
            <w:tcBorders>
              <w:top w:val="nil"/>
              <w:left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22</w:t>
            </w:r>
          </w:p>
        </w:tc>
      </w:tr>
      <w:tr w:rsidR="00CA3B97" w:rsidRPr="006F7700" w:rsidTr="00733DBD">
        <w:trPr>
          <w:trHeight w:val="300"/>
        </w:trPr>
        <w:tc>
          <w:tcPr>
            <w:tcW w:w="5000" w:type="pct"/>
            <w:gridSpan w:val="2"/>
            <w:tcBorders>
              <w:top w:val="nil"/>
              <w:left w:val="nil"/>
              <w:right w:val="nil"/>
            </w:tcBorders>
            <w:shd w:val="clear" w:color="2DB9FF" w:fill="D5F1FF" w:themeFill="accent2" w:themeFillTint="33"/>
            <w:noWrap/>
            <w:vAlign w:val="center"/>
            <w:hideMark/>
          </w:tcPr>
          <w:p w:rsidR="00CA3B97" w:rsidRPr="006F7700" w:rsidRDefault="00B73402" w:rsidP="00733DBD">
            <w:pPr>
              <w:spacing w:after="0" w:line="240" w:lineRule="auto"/>
              <w:jc w:val="left"/>
              <w:rPr>
                <w:rFonts w:ascii="Calibri" w:eastAsia="Times New Roman" w:hAnsi="Calibri" w:cs="Times New Roman"/>
                <w:b/>
                <w:bCs/>
                <w:lang w:eastAsia="cs-CZ"/>
              </w:rPr>
            </w:pPr>
            <w:r>
              <w:rPr>
                <w:rFonts w:ascii="Calibri" w:eastAsia="Times New Roman" w:hAnsi="Calibri" w:cs="Times New Roman"/>
                <w:b/>
                <w:bCs/>
                <w:lang w:eastAsia="cs-CZ"/>
              </w:rPr>
              <w:t xml:space="preserve">3. </w:t>
            </w:r>
            <w:r w:rsidR="00CA3B97" w:rsidRPr="006F7700">
              <w:rPr>
                <w:rFonts w:ascii="Calibri" w:eastAsia="Times New Roman" w:hAnsi="Calibri" w:cs="Times New Roman"/>
                <w:b/>
                <w:bCs/>
                <w:lang w:eastAsia="cs-CZ"/>
              </w:rPr>
              <w:t>Kancelářské potřeby, kancelářská technika</w:t>
            </w:r>
          </w:p>
        </w:tc>
      </w:tr>
      <w:tr w:rsidR="00CA3B97" w:rsidRPr="00D624F9" w:rsidTr="00733DBD">
        <w:trPr>
          <w:trHeight w:val="300"/>
        </w:trPr>
        <w:tc>
          <w:tcPr>
            <w:tcW w:w="388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Kancelářská technika a zařízení</w:t>
            </w:r>
          </w:p>
        </w:tc>
        <w:tc>
          <w:tcPr>
            <w:tcW w:w="111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03</w:t>
            </w:r>
          </w:p>
        </w:tc>
      </w:tr>
      <w:tr w:rsidR="00CA3B97" w:rsidRPr="00D624F9" w:rsidTr="00733DBD">
        <w:trPr>
          <w:trHeight w:val="300"/>
        </w:trPr>
        <w:tc>
          <w:tcPr>
            <w:tcW w:w="388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Kancelářské potřeby</w:t>
            </w:r>
          </w:p>
        </w:tc>
        <w:tc>
          <w:tcPr>
            <w:tcW w:w="111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11</w:t>
            </w:r>
          </w:p>
        </w:tc>
      </w:tr>
      <w:tr w:rsidR="00CA3B97" w:rsidRPr="00D624F9" w:rsidTr="00733DBD">
        <w:trPr>
          <w:trHeight w:val="300"/>
        </w:trPr>
        <w:tc>
          <w:tcPr>
            <w:tcW w:w="388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Materiál pro tiskařské/polygrafické účely</w:t>
            </w:r>
          </w:p>
        </w:tc>
        <w:tc>
          <w:tcPr>
            <w:tcW w:w="111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05</w:t>
            </w:r>
          </w:p>
        </w:tc>
      </w:tr>
      <w:tr w:rsidR="00CA3B97" w:rsidRPr="00D624F9" w:rsidTr="00733DBD">
        <w:trPr>
          <w:trHeight w:val="300"/>
        </w:trPr>
        <w:tc>
          <w:tcPr>
            <w:tcW w:w="388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Nábytek</w:t>
            </w:r>
          </w:p>
        </w:tc>
        <w:tc>
          <w:tcPr>
            <w:tcW w:w="111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15</w:t>
            </w:r>
          </w:p>
        </w:tc>
      </w:tr>
      <w:tr w:rsidR="00CA3B97" w:rsidRPr="00D624F9" w:rsidTr="00733DBD">
        <w:trPr>
          <w:trHeight w:val="300"/>
        </w:trPr>
        <w:tc>
          <w:tcPr>
            <w:tcW w:w="388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Opravy a údržba kancelářských strojů, osobních počítačů a telekomunikačních zařízení</w:t>
            </w:r>
          </w:p>
        </w:tc>
        <w:tc>
          <w:tcPr>
            <w:tcW w:w="111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45</w:t>
            </w:r>
          </w:p>
        </w:tc>
      </w:tr>
      <w:tr w:rsidR="00CA3B97" w:rsidRPr="00D624F9" w:rsidTr="00733DBD">
        <w:trPr>
          <w:trHeight w:val="300"/>
        </w:trPr>
        <w:tc>
          <w:tcPr>
            <w:tcW w:w="388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Pomocné a ostatní kancelářské služby</w:t>
            </w:r>
          </w:p>
        </w:tc>
        <w:tc>
          <w:tcPr>
            <w:tcW w:w="111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69</w:t>
            </w:r>
          </w:p>
        </w:tc>
      </w:tr>
      <w:tr w:rsidR="00CA3B97" w:rsidRPr="00D624F9" w:rsidTr="00733DBD">
        <w:trPr>
          <w:trHeight w:val="300"/>
        </w:trPr>
        <w:tc>
          <w:tcPr>
            <w:tcW w:w="388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Spotřební materiál pro kancelářskou techniku</w:t>
            </w:r>
          </w:p>
        </w:tc>
        <w:tc>
          <w:tcPr>
            <w:tcW w:w="111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04</w:t>
            </w:r>
          </w:p>
        </w:tc>
      </w:tr>
      <w:tr w:rsidR="00CA3B97" w:rsidRPr="00D624F9" w:rsidTr="00733DBD">
        <w:trPr>
          <w:trHeight w:val="300"/>
        </w:trPr>
        <w:tc>
          <w:tcPr>
            <w:tcW w:w="388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Tiskařské služby</w:t>
            </w:r>
          </w:p>
        </w:tc>
        <w:tc>
          <w:tcPr>
            <w:tcW w:w="111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70</w:t>
            </w:r>
          </w:p>
        </w:tc>
      </w:tr>
      <w:tr w:rsidR="00CA3B97" w:rsidRPr="00D624F9" w:rsidTr="00733DBD">
        <w:trPr>
          <w:trHeight w:val="300"/>
        </w:trPr>
        <w:tc>
          <w:tcPr>
            <w:tcW w:w="388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Tiskařské výrobky</w:t>
            </w:r>
          </w:p>
        </w:tc>
        <w:tc>
          <w:tcPr>
            <w:tcW w:w="111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12</w:t>
            </w:r>
          </w:p>
        </w:tc>
      </w:tr>
      <w:tr w:rsidR="00CA3B97" w:rsidRPr="00D624F9" w:rsidTr="00733DBD">
        <w:trPr>
          <w:trHeight w:val="300"/>
        </w:trPr>
        <w:tc>
          <w:tcPr>
            <w:tcW w:w="388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Zařízení a vybavení interiéru</w:t>
            </w:r>
          </w:p>
        </w:tc>
        <w:tc>
          <w:tcPr>
            <w:tcW w:w="1115" w:type="pct"/>
            <w:tcBorders>
              <w:top w:val="nil"/>
              <w:left w:val="nil"/>
              <w:right w:val="nil"/>
            </w:tcBorders>
            <w:shd w:val="clear" w:color="auto"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16</w:t>
            </w:r>
          </w:p>
        </w:tc>
      </w:tr>
      <w:tr w:rsidR="00CA3B97" w:rsidRPr="006F7700" w:rsidTr="00733DBD">
        <w:trPr>
          <w:trHeight w:val="300"/>
        </w:trPr>
        <w:tc>
          <w:tcPr>
            <w:tcW w:w="5000" w:type="pct"/>
            <w:gridSpan w:val="2"/>
            <w:tcBorders>
              <w:top w:val="nil"/>
              <w:left w:val="nil"/>
              <w:bottom w:val="nil"/>
              <w:right w:val="nil"/>
            </w:tcBorders>
            <w:shd w:val="clear" w:color="2DB9FF" w:fill="D5F1FF" w:themeFill="accent2" w:themeFillTint="33"/>
            <w:noWrap/>
            <w:vAlign w:val="center"/>
            <w:hideMark/>
          </w:tcPr>
          <w:p w:rsidR="00CA3B97" w:rsidRPr="006F7700" w:rsidRDefault="00B73402" w:rsidP="00733DBD">
            <w:pPr>
              <w:spacing w:after="0" w:line="240" w:lineRule="auto"/>
              <w:jc w:val="left"/>
              <w:rPr>
                <w:rFonts w:ascii="Calibri" w:eastAsia="Times New Roman" w:hAnsi="Calibri" w:cs="Times New Roman"/>
                <w:b/>
                <w:bCs/>
                <w:lang w:eastAsia="cs-CZ"/>
              </w:rPr>
            </w:pPr>
            <w:r>
              <w:rPr>
                <w:rFonts w:ascii="Calibri" w:eastAsia="Times New Roman" w:hAnsi="Calibri" w:cs="Times New Roman"/>
                <w:b/>
                <w:bCs/>
                <w:lang w:eastAsia="cs-CZ"/>
              </w:rPr>
              <w:t xml:space="preserve">4. </w:t>
            </w:r>
            <w:r w:rsidR="00CA3B97" w:rsidRPr="006F7700">
              <w:rPr>
                <w:rFonts w:ascii="Calibri" w:eastAsia="Times New Roman" w:hAnsi="Calibri" w:cs="Times New Roman"/>
                <w:b/>
                <w:bCs/>
                <w:lang w:eastAsia="cs-CZ"/>
              </w:rPr>
              <w:t>Energie a správa budov</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Bezpečnostní služby</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75</w:t>
            </w:r>
          </w:p>
        </w:tc>
      </w:tr>
      <w:tr w:rsidR="00CA3B97" w:rsidRPr="00D624F9" w:rsidTr="00733DBD">
        <w:trPr>
          <w:trHeight w:val="300"/>
        </w:trPr>
        <w:tc>
          <w:tcPr>
            <w:tcW w:w="388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Čist</w:t>
            </w:r>
            <w:r>
              <w:rPr>
                <w:rFonts w:ascii="Calibri" w:eastAsia="Times New Roman" w:hAnsi="Calibri" w:cs="Times New Roman"/>
                <w:lang w:eastAsia="cs-CZ"/>
              </w:rPr>
              <w:t>i</w:t>
            </w:r>
            <w:r w:rsidRPr="00D624F9">
              <w:rPr>
                <w:rFonts w:ascii="Calibri" w:eastAsia="Times New Roman" w:hAnsi="Calibri" w:cs="Times New Roman"/>
                <w:lang w:eastAsia="cs-CZ"/>
              </w:rPr>
              <w:t>cí prostředky a jiné drogistické zboží</w:t>
            </w:r>
          </w:p>
        </w:tc>
        <w:tc>
          <w:tcPr>
            <w:tcW w:w="111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14</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Opravy a údržba technických zařízení budov</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48</w:t>
            </w:r>
          </w:p>
        </w:tc>
      </w:tr>
      <w:tr w:rsidR="00CA3B97" w:rsidRPr="00D624F9" w:rsidTr="00733DBD">
        <w:trPr>
          <w:trHeight w:val="300"/>
        </w:trPr>
        <w:tc>
          <w:tcPr>
            <w:tcW w:w="388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Paliva a elektrická energie, pára a horká voda</w:t>
            </w:r>
          </w:p>
        </w:tc>
        <w:tc>
          <w:tcPr>
            <w:tcW w:w="111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01</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Realitní služby</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64</w:t>
            </w:r>
          </w:p>
        </w:tc>
      </w:tr>
      <w:tr w:rsidR="00CA3B97" w:rsidRPr="00D624F9" w:rsidTr="00733DBD">
        <w:trPr>
          <w:trHeight w:val="300"/>
        </w:trPr>
        <w:tc>
          <w:tcPr>
            <w:tcW w:w="388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Služby odpadového hospodářství</w:t>
            </w:r>
          </w:p>
        </w:tc>
        <w:tc>
          <w:tcPr>
            <w:tcW w:w="1115" w:type="pct"/>
            <w:tcBorders>
              <w:top w:val="nil"/>
              <w:left w:val="nil"/>
              <w:bottom w:val="nil"/>
              <w:right w:val="nil"/>
            </w:tcBorders>
            <w:shd w:val="clear" w:color="D9D9D9"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57</w:t>
            </w:r>
          </w:p>
        </w:tc>
      </w:tr>
      <w:tr w:rsidR="00CA3B97" w:rsidRPr="00D624F9" w:rsidTr="00733DBD">
        <w:trPr>
          <w:trHeight w:val="300"/>
        </w:trPr>
        <w:tc>
          <w:tcPr>
            <w:tcW w:w="3885" w:type="pct"/>
            <w:tcBorders>
              <w:top w:val="nil"/>
              <w:left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Úklidové a čistící služby</w:t>
            </w:r>
          </w:p>
        </w:tc>
        <w:tc>
          <w:tcPr>
            <w:tcW w:w="1115" w:type="pct"/>
            <w:tcBorders>
              <w:top w:val="nil"/>
              <w:left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76</w:t>
            </w:r>
          </w:p>
        </w:tc>
      </w:tr>
      <w:tr w:rsidR="00CA3B97" w:rsidRPr="006F7700" w:rsidTr="00733DBD">
        <w:trPr>
          <w:trHeight w:val="300"/>
        </w:trPr>
        <w:tc>
          <w:tcPr>
            <w:tcW w:w="5000" w:type="pct"/>
            <w:gridSpan w:val="2"/>
            <w:tcBorders>
              <w:top w:val="nil"/>
              <w:left w:val="nil"/>
              <w:right w:val="nil"/>
            </w:tcBorders>
            <w:shd w:val="clear" w:color="2DB9FF" w:fill="D5F1FF" w:themeFill="accent2" w:themeFillTint="33"/>
            <w:noWrap/>
            <w:vAlign w:val="center"/>
            <w:hideMark/>
          </w:tcPr>
          <w:p w:rsidR="00CA3B97" w:rsidRPr="006F7700" w:rsidRDefault="00B73402" w:rsidP="00733DBD">
            <w:pPr>
              <w:spacing w:after="0" w:line="240" w:lineRule="auto"/>
              <w:jc w:val="left"/>
              <w:rPr>
                <w:rFonts w:ascii="Calibri" w:eastAsia="Times New Roman" w:hAnsi="Calibri" w:cs="Times New Roman"/>
                <w:b/>
                <w:bCs/>
                <w:lang w:eastAsia="cs-CZ"/>
              </w:rPr>
            </w:pPr>
            <w:r>
              <w:rPr>
                <w:rFonts w:ascii="Calibri" w:eastAsia="Times New Roman" w:hAnsi="Calibri" w:cs="Times New Roman"/>
                <w:b/>
                <w:bCs/>
                <w:lang w:eastAsia="cs-CZ"/>
              </w:rPr>
              <w:t xml:space="preserve">5. </w:t>
            </w:r>
            <w:r w:rsidR="00CA3B97" w:rsidRPr="006F7700">
              <w:rPr>
                <w:rFonts w:ascii="Calibri" w:eastAsia="Times New Roman" w:hAnsi="Calibri" w:cs="Times New Roman"/>
                <w:b/>
                <w:bCs/>
                <w:lang w:eastAsia="cs-CZ"/>
              </w:rPr>
              <w:t>Doprava a ubytování</w:t>
            </w:r>
          </w:p>
        </w:tc>
      </w:tr>
      <w:tr w:rsidR="00CA3B97" w:rsidRPr="00D624F9" w:rsidTr="00733DBD">
        <w:trPr>
          <w:trHeight w:val="300"/>
        </w:trPr>
        <w:tc>
          <w:tcPr>
            <w:tcW w:w="388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Pomocné služby pro pozemní, vodní a leteckou dopravu</w:t>
            </w:r>
          </w:p>
        </w:tc>
        <w:tc>
          <w:tcPr>
            <w:tcW w:w="1115" w:type="pct"/>
            <w:tcBorders>
              <w:top w:val="nil"/>
              <w:left w:val="nil"/>
              <w:right w:val="nil"/>
            </w:tcBorders>
            <w:shd w:val="clear" w:color="D9D9D9" w:fill="FFFFFF" w:themeFill="background1"/>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51</w:t>
            </w:r>
          </w:p>
        </w:tc>
      </w:tr>
      <w:tr w:rsidR="00CA3B97" w:rsidRPr="00D624F9" w:rsidTr="00733DBD">
        <w:trPr>
          <w:trHeight w:val="300"/>
        </w:trPr>
        <w:tc>
          <w:tcPr>
            <w:tcW w:w="3885" w:type="pct"/>
            <w:tcBorders>
              <w:top w:val="nil"/>
              <w:left w:val="nil"/>
              <w:bottom w:val="nil"/>
              <w:right w:val="nil"/>
            </w:tcBorders>
            <w:shd w:val="clear" w:color="auto" w:fill="F2F2F2"/>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Přepravní a jiné logistické služby</w:t>
            </w:r>
          </w:p>
        </w:tc>
        <w:tc>
          <w:tcPr>
            <w:tcW w:w="1115" w:type="pct"/>
            <w:tcBorders>
              <w:top w:val="nil"/>
              <w:left w:val="nil"/>
              <w:bottom w:val="nil"/>
              <w:right w:val="nil"/>
            </w:tcBorders>
            <w:shd w:val="clear" w:color="auto" w:fill="F2F2F2"/>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50</w:t>
            </w:r>
          </w:p>
        </w:tc>
      </w:tr>
      <w:tr w:rsidR="00CA3B97" w:rsidRPr="00D624F9" w:rsidTr="00733DBD">
        <w:trPr>
          <w:trHeight w:val="300"/>
        </w:trPr>
        <w:tc>
          <w:tcPr>
            <w:tcW w:w="388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left"/>
              <w:rPr>
                <w:rFonts w:ascii="Calibri" w:eastAsia="Times New Roman" w:hAnsi="Calibri" w:cs="Times New Roman"/>
                <w:lang w:eastAsia="cs-CZ"/>
              </w:rPr>
            </w:pPr>
            <w:r w:rsidRPr="00D624F9">
              <w:rPr>
                <w:rFonts w:ascii="Calibri" w:eastAsia="Times New Roman" w:hAnsi="Calibri" w:cs="Times New Roman"/>
                <w:lang w:eastAsia="cs-CZ"/>
              </w:rPr>
              <w:t>Ubytovací služby, pohostinství, maloobchod</w:t>
            </w:r>
          </w:p>
        </w:tc>
        <w:tc>
          <w:tcPr>
            <w:tcW w:w="1115" w:type="pct"/>
            <w:tcBorders>
              <w:top w:val="nil"/>
              <w:left w:val="nil"/>
              <w:bottom w:val="nil"/>
              <w:right w:val="nil"/>
            </w:tcBorders>
            <w:shd w:val="clear" w:color="auto" w:fill="auto"/>
            <w:noWrap/>
            <w:vAlign w:val="center"/>
            <w:hideMark/>
          </w:tcPr>
          <w:p w:rsidR="00CA3B97" w:rsidRPr="00D624F9" w:rsidRDefault="00CA3B97" w:rsidP="00733DBD">
            <w:pPr>
              <w:spacing w:after="0" w:line="240" w:lineRule="auto"/>
              <w:ind w:firstLineChars="100" w:firstLine="220"/>
              <w:jc w:val="center"/>
              <w:rPr>
                <w:rFonts w:ascii="Calibri" w:eastAsia="Times New Roman" w:hAnsi="Calibri" w:cs="Times New Roman"/>
                <w:lang w:eastAsia="cs-CZ"/>
              </w:rPr>
            </w:pPr>
            <w:r w:rsidRPr="00D624F9">
              <w:rPr>
                <w:rFonts w:ascii="Calibri" w:eastAsia="Times New Roman" w:hAnsi="Calibri" w:cs="Times New Roman"/>
                <w:lang w:eastAsia="cs-CZ"/>
              </w:rPr>
              <w:t>71</w:t>
            </w:r>
          </w:p>
        </w:tc>
      </w:tr>
    </w:tbl>
    <w:p w:rsidR="007444E9" w:rsidRDefault="007444E9" w:rsidP="00462FB9">
      <w:pPr>
        <w:pStyle w:val="Odstavecseseznamem"/>
        <w:ind w:left="360"/>
        <w:rPr>
          <w:noProof/>
          <w:lang w:eastAsia="cs-CZ"/>
        </w:rPr>
      </w:pPr>
    </w:p>
    <w:p w:rsidR="007444E9" w:rsidRDefault="007444E9">
      <w:pPr>
        <w:spacing w:before="0" w:after="200"/>
        <w:jc w:val="left"/>
        <w:rPr>
          <w:noProof/>
          <w:lang w:eastAsia="cs-CZ"/>
        </w:rPr>
      </w:pPr>
      <w:r>
        <w:rPr>
          <w:noProof/>
          <w:lang w:eastAsia="cs-CZ"/>
        </w:rPr>
        <w:br w:type="page"/>
      </w:r>
    </w:p>
    <w:p w:rsidR="00E83993" w:rsidRDefault="00E83993" w:rsidP="00462FB9">
      <w:pPr>
        <w:pStyle w:val="Odstavecseseznamem"/>
        <w:numPr>
          <w:ilvl w:val="0"/>
          <w:numId w:val="35"/>
        </w:numPr>
        <w:ind w:hanging="218"/>
        <w:rPr>
          <w:b/>
          <w:lang w:eastAsia="cs-CZ"/>
        </w:rPr>
      </w:pPr>
      <w:r w:rsidRPr="00E83993">
        <w:rPr>
          <w:b/>
          <w:lang w:eastAsia="cs-CZ"/>
        </w:rPr>
        <w:lastRenderedPageBreak/>
        <w:t xml:space="preserve">Návrh pravidel centrálního nákupu státu </w:t>
      </w:r>
      <w:r w:rsidR="00035C45" w:rsidRPr="00035C45">
        <w:rPr>
          <w:b/>
          <w:lang w:eastAsia="cs-CZ"/>
        </w:rPr>
        <w:t>realizovan</w:t>
      </w:r>
      <w:r w:rsidR="00035C45">
        <w:rPr>
          <w:b/>
          <w:lang w:eastAsia="cs-CZ"/>
        </w:rPr>
        <w:t>ého</w:t>
      </w:r>
      <w:r w:rsidR="00035C45" w:rsidRPr="00035C45">
        <w:rPr>
          <w:b/>
          <w:lang w:eastAsia="cs-CZ"/>
        </w:rPr>
        <w:t xml:space="preserve"> Ministerstvem financí ČR jako centrálním zadavatelem státu</w:t>
      </w:r>
      <w:r w:rsidR="00035C45" w:rsidRPr="00035C45" w:rsidDel="00410FE7">
        <w:rPr>
          <w:b/>
          <w:lang w:eastAsia="cs-CZ"/>
        </w:rPr>
        <w:t xml:space="preserve"> </w:t>
      </w:r>
    </w:p>
    <w:p w:rsidR="00E83993" w:rsidRPr="00E83993" w:rsidRDefault="00E83993" w:rsidP="00E83993">
      <w:pPr>
        <w:pStyle w:val="Odstavecseseznamem"/>
        <w:ind w:left="360"/>
        <w:rPr>
          <w:b/>
          <w:lang w:eastAsia="cs-CZ"/>
        </w:rPr>
      </w:pPr>
    </w:p>
    <w:p w:rsidR="00E83993" w:rsidRDefault="00E83993" w:rsidP="00E83993">
      <w:pPr>
        <w:pStyle w:val="Odstavecseseznamem"/>
        <w:numPr>
          <w:ilvl w:val="0"/>
          <w:numId w:val="33"/>
        </w:numPr>
        <w:spacing w:before="120"/>
        <w:contextualSpacing w:val="0"/>
        <w:rPr>
          <w:lang w:eastAsia="cs-CZ"/>
        </w:rPr>
      </w:pPr>
      <w:r>
        <w:rPr>
          <w:lang w:eastAsia="cs-CZ"/>
        </w:rPr>
        <w:t xml:space="preserve">Ministerstvo financí je oprávněno </w:t>
      </w:r>
      <w:r w:rsidR="00BB2084">
        <w:rPr>
          <w:lang w:eastAsia="cs-CZ"/>
        </w:rPr>
        <w:t xml:space="preserve">stanovit </w:t>
      </w:r>
      <w:r w:rsidR="00507345">
        <w:rPr>
          <w:lang w:eastAsia="cs-CZ"/>
        </w:rPr>
        <w:t xml:space="preserve">závazný technický standard </w:t>
      </w:r>
      <w:r>
        <w:rPr>
          <w:lang w:eastAsia="cs-CZ"/>
        </w:rPr>
        <w:t xml:space="preserve">pro komodity související s provozem ústředních orgánů státní správy </w:t>
      </w:r>
      <w:r w:rsidR="00D33FB4">
        <w:rPr>
          <w:lang w:eastAsia="cs-CZ"/>
        </w:rPr>
        <w:t xml:space="preserve">a jejich podřízených organizací </w:t>
      </w:r>
      <w:r>
        <w:rPr>
          <w:lang w:eastAsia="cs-CZ"/>
        </w:rPr>
        <w:t xml:space="preserve">stanovené </w:t>
      </w:r>
      <w:r w:rsidR="00C4617A">
        <w:rPr>
          <w:lang w:eastAsia="cs-CZ"/>
        </w:rPr>
        <w:t xml:space="preserve">tímto </w:t>
      </w:r>
      <w:r>
        <w:rPr>
          <w:lang w:eastAsia="cs-CZ"/>
        </w:rPr>
        <w:t>usnesením vlády</w:t>
      </w:r>
      <w:r w:rsidR="00E731F5">
        <w:rPr>
          <w:lang w:eastAsia="cs-CZ"/>
        </w:rPr>
        <w:t xml:space="preserve"> nebo jejich součásti</w:t>
      </w:r>
      <w:r>
        <w:rPr>
          <w:lang w:eastAsia="cs-CZ"/>
        </w:rPr>
        <w:t>.</w:t>
      </w:r>
      <w:r w:rsidRPr="002E6996">
        <w:rPr>
          <w:lang w:eastAsia="cs-CZ"/>
        </w:rPr>
        <w:t xml:space="preserve"> </w:t>
      </w:r>
      <w:r>
        <w:rPr>
          <w:lang w:eastAsia="cs-CZ"/>
        </w:rPr>
        <w:t xml:space="preserve">Technický standard má formu limitních parametrů nebo rámcové technické specifikace. </w:t>
      </w:r>
      <w:r w:rsidR="00410FE7">
        <w:rPr>
          <w:lang w:eastAsia="cs-CZ"/>
        </w:rPr>
        <w:t xml:space="preserve"> </w:t>
      </w:r>
    </w:p>
    <w:p w:rsidR="00E83993" w:rsidRDefault="005C0356" w:rsidP="00E83993">
      <w:pPr>
        <w:pStyle w:val="Odstavecseseznamem"/>
        <w:numPr>
          <w:ilvl w:val="0"/>
          <w:numId w:val="33"/>
        </w:numPr>
        <w:spacing w:before="120"/>
        <w:contextualSpacing w:val="0"/>
        <w:rPr>
          <w:lang w:eastAsia="cs-CZ"/>
        </w:rPr>
      </w:pPr>
      <w:r>
        <w:rPr>
          <w:lang w:eastAsia="cs-CZ"/>
        </w:rPr>
        <w:t xml:space="preserve">Pro účely návrhu technického standardu Ministerstvo financí ustanoví meziresortní standardizační </w:t>
      </w:r>
      <w:r w:rsidR="006A7444">
        <w:rPr>
          <w:lang w:eastAsia="cs-CZ"/>
        </w:rPr>
        <w:t>skupiny</w:t>
      </w:r>
      <w:r>
        <w:rPr>
          <w:lang w:eastAsia="cs-CZ"/>
        </w:rPr>
        <w:t xml:space="preserve">, do kterých přizve </w:t>
      </w:r>
      <w:r w:rsidR="00F7771E">
        <w:rPr>
          <w:lang w:eastAsia="cs-CZ"/>
        </w:rPr>
        <w:t xml:space="preserve">nominované </w:t>
      </w:r>
      <w:r>
        <w:rPr>
          <w:lang w:eastAsia="cs-CZ"/>
        </w:rPr>
        <w:t xml:space="preserve">zástupce </w:t>
      </w:r>
      <w:r w:rsidR="00F7771E">
        <w:rPr>
          <w:lang w:eastAsia="cs-CZ"/>
        </w:rPr>
        <w:t xml:space="preserve">všech </w:t>
      </w:r>
      <w:r>
        <w:rPr>
          <w:lang w:eastAsia="cs-CZ"/>
        </w:rPr>
        <w:t xml:space="preserve">resortů. </w:t>
      </w:r>
      <w:r w:rsidR="00E83993">
        <w:rPr>
          <w:lang w:eastAsia="cs-CZ"/>
        </w:rPr>
        <w:t>Ministerstvo financí technický standard</w:t>
      </w:r>
      <w:r w:rsidR="00410FE7">
        <w:rPr>
          <w:lang w:eastAsia="cs-CZ"/>
        </w:rPr>
        <w:t xml:space="preserve"> navrhne </w:t>
      </w:r>
      <w:r w:rsidR="00E83993">
        <w:rPr>
          <w:lang w:eastAsia="cs-CZ"/>
        </w:rPr>
        <w:t>s přihlédnutím ke stávající praxi a potřebám jednotlivých resortů tak, aby pokrýval maximum oprávněných požadavků a zároveň umožňoval přiměřenou centralizaci poptávky.</w:t>
      </w:r>
      <w:r w:rsidR="00F32AD3">
        <w:rPr>
          <w:lang w:eastAsia="cs-CZ"/>
        </w:rPr>
        <w:t xml:space="preserve"> </w:t>
      </w:r>
    </w:p>
    <w:p w:rsidR="00E915C7" w:rsidRPr="00D7646B" w:rsidRDefault="00E915C7" w:rsidP="00E915C7">
      <w:pPr>
        <w:pStyle w:val="Odstavecseseznamem"/>
        <w:numPr>
          <w:ilvl w:val="0"/>
          <w:numId w:val="33"/>
        </w:numPr>
        <w:spacing w:before="120"/>
        <w:contextualSpacing w:val="0"/>
        <w:rPr>
          <w:lang w:eastAsia="cs-CZ"/>
        </w:rPr>
      </w:pPr>
      <w:r>
        <w:rPr>
          <w:lang w:eastAsia="cs-CZ"/>
        </w:rPr>
        <w:t xml:space="preserve">V odůvodněných případech lze na úrovni jednotlivých resortů či organizací poptávat komodity s užitnou hodnotou mimo rámec definovaného technického standardu. V takovém </w:t>
      </w:r>
      <w:r w:rsidRPr="00D7646B">
        <w:rPr>
          <w:lang w:eastAsia="cs-CZ"/>
        </w:rPr>
        <w:t xml:space="preserve">případě je </w:t>
      </w:r>
      <w:r>
        <w:rPr>
          <w:lang w:eastAsia="cs-CZ"/>
        </w:rPr>
        <w:t>zadavatel</w:t>
      </w:r>
      <w:r w:rsidRPr="00D7646B">
        <w:rPr>
          <w:lang w:eastAsia="cs-CZ"/>
        </w:rPr>
        <w:t xml:space="preserve"> povinen </w:t>
      </w:r>
      <w:r>
        <w:rPr>
          <w:lang w:eastAsia="cs-CZ"/>
        </w:rPr>
        <w:t>o tomto</w:t>
      </w:r>
      <w:r w:rsidRPr="00D7646B">
        <w:rPr>
          <w:lang w:eastAsia="cs-CZ"/>
        </w:rPr>
        <w:t xml:space="preserve"> postup</w:t>
      </w:r>
      <w:r>
        <w:rPr>
          <w:lang w:eastAsia="cs-CZ"/>
        </w:rPr>
        <w:t>u</w:t>
      </w:r>
      <w:r w:rsidRPr="00D7646B">
        <w:rPr>
          <w:lang w:eastAsia="cs-CZ"/>
        </w:rPr>
        <w:t xml:space="preserve"> Ministerstv</w:t>
      </w:r>
      <w:r>
        <w:rPr>
          <w:lang w:eastAsia="cs-CZ"/>
        </w:rPr>
        <w:t>o</w:t>
      </w:r>
      <w:r w:rsidRPr="00D7646B">
        <w:rPr>
          <w:lang w:eastAsia="cs-CZ"/>
        </w:rPr>
        <w:t xml:space="preserve"> financí</w:t>
      </w:r>
      <w:r w:rsidR="002E7A13" w:rsidRPr="002E7A13">
        <w:rPr>
          <w:lang w:eastAsia="cs-CZ"/>
        </w:rPr>
        <w:t xml:space="preserve"> </w:t>
      </w:r>
      <w:r w:rsidR="002E7A13">
        <w:rPr>
          <w:lang w:eastAsia="cs-CZ"/>
        </w:rPr>
        <w:t>informovat</w:t>
      </w:r>
      <w:r w:rsidRPr="00D7646B">
        <w:rPr>
          <w:lang w:eastAsia="cs-CZ"/>
        </w:rPr>
        <w:t xml:space="preserve">. </w:t>
      </w:r>
    </w:p>
    <w:p w:rsidR="00E915C7" w:rsidRPr="00D7646B" w:rsidRDefault="00E915C7" w:rsidP="00E915C7">
      <w:pPr>
        <w:pStyle w:val="Odstavecseseznamem"/>
        <w:numPr>
          <w:ilvl w:val="0"/>
          <w:numId w:val="33"/>
        </w:numPr>
        <w:spacing w:before="120"/>
        <w:contextualSpacing w:val="0"/>
        <w:rPr>
          <w:lang w:eastAsia="cs-CZ"/>
        </w:rPr>
      </w:pPr>
      <w:r>
        <w:rPr>
          <w:lang w:eastAsia="cs-CZ"/>
        </w:rPr>
        <w:t>Standardizace a centralizované zadávací řízení se obecně nevztahuje na případy</w:t>
      </w:r>
      <w:r w:rsidRPr="00D7646B">
        <w:rPr>
          <w:lang w:eastAsia="cs-CZ"/>
        </w:rPr>
        <w:t xml:space="preserve">, kdy se předmět nákupu týká utajovaných </w:t>
      </w:r>
      <w:r w:rsidR="007E64FC">
        <w:rPr>
          <w:lang w:eastAsia="cs-CZ"/>
        </w:rPr>
        <w:t>informací</w:t>
      </w:r>
      <w:r w:rsidR="000B0636">
        <w:rPr>
          <w:lang w:eastAsia="cs-CZ"/>
        </w:rPr>
        <w:t xml:space="preserve">, </w:t>
      </w:r>
      <w:r w:rsidRPr="00D7646B">
        <w:rPr>
          <w:lang w:eastAsia="cs-CZ"/>
        </w:rPr>
        <w:t>činností v oblasti obrany a bezpečnosti</w:t>
      </w:r>
      <w:r w:rsidR="002F2221">
        <w:rPr>
          <w:lang w:eastAsia="cs-CZ"/>
        </w:rPr>
        <w:t>,</w:t>
      </w:r>
      <w:r w:rsidR="002F2221" w:rsidRPr="002F2221">
        <w:rPr>
          <w:szCs w:val="22"/>
        </w:rPr>
        <w:t xml:space="preserve"> </w:t>
      </w:r>
      <w:r w:rsidR="002F2221" w:rsidRPr="00EF5939">
        <w:rPr>
          <w:szCs w:val="22"/>
        </w:rPr>
        <w:t>nákup</w:t>
      </w:r>
      <w:r w:rsidR="002F2221">
        <w:rPr>
          <w:szCs w:val="22"/>
        </w:rPr>
        <w:t>ů realizovaných</w:t>
      </w:r>
      <w:r w:rsidR="002F2221" w:rsidRPr="00EF5939">
        <w:rPr>
          <w:szCs w:val="22"/>
        </w:rPr>
        <w:t xml:space="preserve"> v zahraničí, nákup</w:t>
      </w:r>
      <w:r w:rsidR="002F2221">
        <w:rPr>
          <w:szCs w:val="22"/>
        </w:rPr>
        <w:t>ů</w:t>
      </w:r>
      <w:r w:rsidR="002F2221" w:rsidRPr="00EF5939">
        <w:rPr>
          <w:szCs w:val="22"/>
        </w:rPr>
        <w:t xml:space="preserve"> ze zvláštních prostředků Vojenského zpravodajství a Vojenské policie</w:t>
      </w:r>
      <w:r w:rsidR="000B0636">
        <w:rPr>
          <w:lang w:eastAsia="cs-CZ"/>
        </w:rPr>
        <w:t xml:space="preserve"> nebo je-li předmětem výroba, koupě nebo oprava zbraní, zbraňových systémů, střeliva nebo zabezpečení dalšího vojenského materiálu pro ozbrojené složky</w:t>
      </w:r>
      <w:r w:rsidRPr="00D7646B">
        <w:rPr>
          <w:lang w:eastAsia="cs-CZ"/>
        </w:rPr>
        <w:t>.</w:t>
      </w:r>
    </w:p>
    <w:p w:rsidR="00E83993" w:rsidRDefault="00E83993" w:rsidP="00D33FB4">
      <w:pPr>
        <w:pStyle w:val="Odstavecseseznamem"/>
        <w:numPr>
          <w:ilvl w:val="0"/>
          <w:numId w:val="33"/>
        </w:numPr>
        <w:spacing w:before="120"/>
        <w:contextualSpacing w:val="0"/>
        <w:rPr>
          <w:lang w:eastAsia="cs-CZ"/>
        </w:rPr>
      </w:pPr>
      <w:r>
        <w:rPr>
          <w:lang w:eastAsia="cs-CZ"/>
        </w:rPr>
        <w:t xml:space="preserve">V rámci </w:t>
      </w:r>
      <w:r w:rsidR="00752D86">
        <w:rPr>
          <w:lang w:eastAsia="cs-CZ"/>
        </w:rPr>
        <w:t>centrálního nákupu</w:t>
      </w:r>
      <w:r>
        <w:rPr>
          <w:lang w:eastAsia="cs-CZ"/>
        </w:rPr>
        <w:t xml:space="preserve"> státu plní Ministerstvo financí ve vztahu k ostatním ústředním orgánům státní správy, v jejichž čele stojí člen vlády ČR, </w:t>
      </w:r>
      <w:r w:rsidR="00D33FB4" w:rsidRPr="00D33FB4">
        <w:rPr>
          <w:lang w:eastAsia="cs-CZ"/>
        </w:rPr>
        <w:t>a jejich podřízen</w:t>
      </w:r>
      <w:r w:rsidR="00D33FB4">
        <w:rPr>
          <w:lang w:eastAsia="cs-CZ"/>
        </w:rPr>
        <w:t>ým</w:t>
      </w:r>
      <w:r w:rsidR="00D33FB4" w:rsidRPr="00D33FB4">
        <w:rPr>
          <w:lang w:eastAsia="cs-CZ"/>
        </w:rPr>
        <w:t xml:space="preserve"> organizac</w:t>
      </w:r>
      <w:r w:rsidR="00D33FB4">
        <w:rPr>
          <w:lang w:eastAsia="cs-CZ"/>
        </w:rPr>
        <w:t>ím</w:t>
      </w:r>
      <w:r w:rsidR="00D33FB4" w:rsidRPr="00D33FB4">
        <w:rPr>
          <w:lang w:eastAsia="cs-CZ"/>
        </w:rPr>
        <w:t xml:space="preserve"> </w:t>
      </w:r>
      <w:r>
        <w:rPr>
          <w:lang w:eastAsia="cs-CZ"/>
        </w:rPr>
        <w:t>roli centrálního zadavatele dle § 3, odst. 1 zákona č. 137/2006 Sb.</w:t>
      </w:r>
      <w:r w:rsidRPr="00B53CD6">
        <w:rPr>
          <w:lang w:eastAsia="cs-CZ"/>
        </w:rPr>
        <w:t>, o veřejných zakázkách</w:t>
      </w:r>
      <w:r>
        <w:rPr>
          <w:lang w:eastAsia="cs-CZ"/>
        </w:rPr>
        <w:t>.</w:t>
      </w:r>
    </w:p>
    <w:p w:rsidR="006552D6" w:rsidRDefault="002575B6" w:rsidP="006552D6">
      <w:pPr>
        <w:pStyle w:val="Odstavecseseznamem"/>
        <w:numPr>
          <w:ilvl w:val="0"/>
          <w:numId w:val="33"/>
        </w:numPr>
        <w:spacing w:before="120"/>
        <w:contextualSpacing w:val="0"/>
        <w:rPr>
          <w:lang w:eastAsia="cs-CZ"/>
        </w:rPr>
      </w:pPr>
      <w:r>
        <w:rPr>
          <w:lang w:eastAsia="cs-CZ"/>
        </w:rPr>
        <w:t>Centrální nákup státu</w:t>
      </w:r>
      <w:r w:rsidR="00E83993">
        <w:rPr>
          <w:lang w:eastAsia="cs-CZ"/>
        </w:rPr>
        <w:t xml:space="preserve"> </w:t>
      </w:r>
      <w:r w:rsidR="000A7414">
        <w:rPr>
          <w:lang w:eastAsia="cs-CZ"/>
        </w:rPr>
        <w:t>probíhá na základě písemné smlouvy</w:t>
      </w:r>
      <w:r w:rsidR="00372C96">
        <w:rPr>
          <w:lang w:eastAsia="cs-CZ"/>
        </w:rPr>
        <w:t xml:space="preserve">, kterou před </w:t>
      </w:r>
      <w:r w:rsidR="000A7414">
        <w:rPr>
          <w:lang w:eastAsia="cs-CZ"/>
        </w:rPr>
        <w:t xml:space="preserve">zahájením centralizovaného </w:t>
      </w:r>
      <w:r w:rsidR="00752D86">
        <w:rPr>
          <w:lang w:eastAsia="cs-CZ"/>
        </w:rPr>
        <w:t xml:space="preserve">zadávacího řízení </w:t>
      </w:r>
      <w:r w:rsidR="000A7414">
        <w:rPr>
          <w:lang w:eastAsia="cs-CZ"/>
        </w:rPr>
        <w:t>uzavře Ministerstvo financí s</w:t>
      </w:r>
      <w:r w:rsidR="00C21BE7">
        <w:rPr>
          <w:lang w:eastAsia="cs-CZ"/>
        </w:rPr>
        <w:t xml:space="preserve"> dalšími resorty jako </w:t>
      </w:r>
      <w:r w:rsidR="00E915C7">
        <w:rPr>
          <w:lang w:eastAsia="cs-CZ"/>
        </w:rPr>
        <w:t>pověřujícími</w:t>
      </w:r>
      <w:r w:rsidR="006552D6">
        <w:rPr>
          <w:lang w:eastAsia="cs-CZ"/>
        </w:rPr>
        <w:t xml:space="preserve"> zadavateli.</w:t>
      </w:r>
      <w:r w:rsidR="00053D18">
        <w:rPr>
          <w:lang w:eastAsia="cs-CZ"/>
        </w:rPr>
        <w:t xml:space="preserve"> Uzavření smlouvy o centralizovaném zadávání iniciuje Ministerstvo financí. </w:t>
      </w:r>
      <w:r w:rsidR="006552D6">
        <w:rPr>
          <w:lang w:eastAsia="cs-CZ"/>
        </w:rPr>
        <w:t xml:space="preserve">Ve smlouvě Ministerstvo financí a </w:t>
      </w:r>
      <w:r w:rsidR="00E915C7">
        <w:rPr>
          <w:lang w:eastAsia="cs-CZ"/>
        </w:rPr>
        <w:t>pověřující</w:t>
      </w:r>
      <w:r w:rsidR="006552D6">
        <w:rPr>
          <w:lang w:eastAsia="cs-CZ"/>
        </w:rPr>
        <w:t xml:space="preserve"> zadavatelé upraví svá vzájemná práva </w:t>
      </w:r>
      <w:r w:rsidR="00462FB9">
        <w:rPr>
          <w:lang w:eastAsia="cs-CZ"/>
        </w:rPr>
        <w:br/>
      </w:r>
      <w:r w:rsidR="006552D6">
        <w:rPr>
          <w:lang w:eastAsia="cs-CZ"/>
        </w:rPr>
        <w:t xml:space="preserve">a povinnosti v souvislosti s centralizovaným zadáváním.  </w:t>
      </w:r>
    </w:p>
    <w:p w:rsidR="00A272A4" w:rsidRDefault="00A272A4" w:rsidP="004A66CC">
      <w:pPr>
        <w:pStyle w:val="Odstavecseseznamem"/>
        <w:numPr>
          <w:ilvl w:val="0"/>
          <w:numId w:val="33"/>
        </w:numPr>
        <w:spacing w:before="120"/>
        <w:contextualSpacing w:val="0"/>
        <w:rPr>
          <w:lang w:eastAsia="cs-CZ"/>
        </w:rPr>
      </w:pPr>
      <w:r>
        <w:rPr>
          <w:lang w:eastAsia="cs-CZ"/>
        </w:rPr>
        <w:t xml:space="preserve">Ministerstvo financí bude </w:t>
      </w:r>
      <w:r w:rsidR="003A4707">
        <w:rPr>
          <w:lang w:eastAsia="cs-CZ"/>
        </w:rPr>
        <w:t xml:space="preserve">jako centrální zadavatel </w:t>
      </w:r>
      <w:r w:rsidR="00230089">
        <w:rPr>
          <w:lang w:eastAsia="cs-CZ"/>
        </w:rPr>
        <w:t xml:space="preserve">v souladu s platnými </w:t>
      </w:r>
      <w:r w:rsidR="00230089" w:rsidRPr="00E65B07">
        <w:rPr>
          <w:bCs/>
          <w:szCs w:val="22"/>
        </w:rPr>
        <w:t>právní</w:t>
      </w:r>
      <w:r w:rsidR="00230089">
        <w:rPr>
          <w:bCs/>
          <w:szCs w:val="22"/>
        </w:rPr>
        <w:t>mi</w:t>
      </w:r>
      <w:r w:rsidR="00230089" w:rsidRPr="00E65B07">
        <w:rPr>
          <w:bCs/>
          <w:szCs w:val="22"/>
        </w:rPr>
        <w:t xml:space="preserve"> předpisy EU</w:t>
      </w:r>
      <w:r w:rsidR="002B11B7">
        <w:rPr>
          <w:rStyle w:val="Znakapoznpodarou"/>
          <w:bCs/>
          <w:szCs w:val="22"/>
        </w:rPr>
        <w:footnoteReference w:id="3"/>
      </w:r>
      <w:r w:rsidR="00230089">
        <w:rPr>
          <w:lang w:eastAsia="cs-CZ"/>
        </w:rPr>
        <w:t xml:space="preserve"> </w:t>
      </w:r>
      <w:r>
        <w:rPr>
          <w:lang w:eastAsia="cs-CZ"/>
        </w:rPr>
        <w:t>dbát na to, aby byly v rámci centrálních zadávacích řízení v přiměřené míře využívány instituty zachovávající možnost účasti malých a středních podniků.</w:t>
      </w:r>
      <w:r w:rsidR="00C7337C">
        <w:rPr>
          <w:lang w:eastAsia="cs-CZ"/>
        </w:rPr>
        <w:t xml:space="preserve"> Zejména se jedná </w:t>
      </w:r>
      <w:r w:rsidR="00462FB9">
        <w:rPr>
          <w:lang w:eastAsia="cs-CZ"/>
        </w:rPr>
        <w:br/>
      </w:r>
      <w:r w:rsidR="00C7337C">
        <w:rPr>
          <w:lang w:eastAsia="cs-CZ"/>
        </w:rPr>
        <w:t xml:space="preserve">o uzavírání rámcových </w:t>
      </w:r>
      <w:r w:rsidR="00070641">
        <w:rPr>
          <w:lang w:eastAsia="cs-CZ"/>
        </w:rPr>
        <w:t>dohod</w:t>
      </w:r>
      <w:r w:rsidR="00C7337C">
        <w:rPr>
          <w:lang w:eastAsia="cs-CZ"/>
        </w:rPr>
        <w:t xml:space="preserve"> s více dodavateli či </w:t>
      </w:r>
      <w:r w:rsidR="00E92E51">
        <w:rPr>
          <w:lang w:eastAsia="cs-CZ"/>
        </w:rPr>
        <w:t>rozdělení</w:t>
      </w:r>
      <w:r w:rsidR="00C7337C">
        <w:rPr>
          <w:lang w:eastAsia="cs-CZ"/>
        </w:rPr>
        <w:t xml:space="preserve"> centrálních veřejných zakázek </w:t>
      </w:r>
      <w:r w:rsidR="00462FB9">
        <w:rPr>
          <w:lang w:eastAsia="cs-CZ"/>
        </w:rPr>
        <w:br/>
      </w:r>
      <w:r w:rsidR="00C7337C">
        <w:rPr>
          <w:lang w:eastAsia="cs-CZ"/>
        </w:rPr>
        <w:t xml:space="preserve">na menší části, např. s ohledem na </w:t>
      </w:r>
      <w:r w:rsidR="00E92E51">
        <w:rPr>
          <w:lang w:eastAsia="cs-CZ"/>
        </w:rPr>
        <w:t>územní členění.</w:t>
      </w:r>
    </w:p>
    <w:p w:rsidR="00417717" w:rsidRDefault="00417717" w:rsidP="00E83993">
      <w:pPr>
        <w:pStyle w:val="Odstavecseseznamem"/>
        <w:numPr>
          <w:ilvl w:val="0"/>
          <w:numId w:val="33"/>
        </w:numPr>
        <w:spacing w:before="120"/>
        <w:contextualSpacing w:val="0"/>
        <w:rPr>
          <w:lang w:eastAsia="cs-CZ"/>
        </w:rPr>
      </w:pPr>
      <w:r>
        <w:rPr>
          <w:lang w:eastAsia="cs-CZ"/>
        </w:rPr>
        <w:lastRenderedPageBreak/>
        <w:t>Jednotlivá centrální zadávací řízení budou připravována s dostatečným časovým předstihem tak, aby mohla proběhnout podrobná technická specifikace a sběr a agregace požadavků jednotlivých organizací na nákup.</w:t>
      </w:r>
    </w:p>
    <w:p w:rsidR="00E83993" w:rsidRDefault="00E915C7" w:rsidP="00E83993">
      <w:pPr>
        <w:pStyle w:val="Odstavecseseznamem"/>
        <w:numPr>
          <w:ilvl w:val="0"/>
          <w:numId w:val="33"/>
        </w:numPr>
        <w:spacing w:before="120"/>
        <w:contextualSpacing w:val="0"/>
        <w:rPr>
          <w:lang w:eastAsia="cs-CZ"/>
        </w:rPr>
      </w:pPr>
      <w:r>
        <w:rPr>
          <w:lang w:eastAsia="cs-CZ"/>
        </w:rPr>
        <w:t>Pověřující zadavatelé</w:t>
      </w:r>
      <w:r w:rsidR="0051797F">
        <w:rPr>
          <w:lang w:eastAsia="cs-CZ"/>
        </w:rPr>
        <w:t xml:space="preserve"> </w:t>
      </w:r>
      <w:r w:rsidR="00F32AD3">
        <w:rPr>
          <w:lang w:eastAsia="cs-CZ"/>
        </w:rPr>
        <w:t xml:space="preserve">budou </w:t>
      </w:r>
      <w:r w:rsidR="0051797F">
        <w:rPr>
          <w:lang w:eastAsia="cs-CZ"/>
        </w:rPr>
        <w:t>n</w:t>
      </w:r>
      <w:r w:rsidR="0051797F" w:rsidRPr="002F42E0">
        <w:rPr>
          <w:lang w:eastAsia="cs-CZ"/>
        </w:rPr>
        <w:t xml:space="preserve">a základě rámcové smlouvy </w:t>
      </w:r>
      <w:r w:rsidR="0051797F">
        <w:rPr>
          <w:lang w:eastAsia="cs-CZ"/>
        </w:rPr>
        <w:t xml:space="preserve">uzavřené Ministerstvem financí jako centrálním zadavatelem s vybraným dodavatelem či dodavateli </w:t>
      </w:r>
      <w:r w:rsidR="00417717">
        <w:rPr>
          <w:lang w:eastAsia="cs-CZ"/>
        </w:rPr>
        <w:t xml:space="preserve">uzavírat </w:t>
      </w:r>
      <w:r w:rsidR="0051797F">
        <w:rPr>
          <w:lang w:eastAsia="cs-CZ"/>
        </w:rPr>
        <w:t>v</w:t>
      </w:r>
      <w:r w:rsidR="0051797F" w:rsidRPr="002F42E0">
        <w:rPr>
          <w:lang w:eastAsia="cs-CZ"/>
        </w:rPr>
        <w:t>lastní prováděcí</w:t>
      </w:r>
      <w:r w:rsidR="0051797F">
        <w:rPr>
          <w:lang w:eastAsia="cs-CZ"/>
        </w:rPr>
        <w:t xml:space="preserve"> či kupní</w:t>
      </w:r>
      <w:r w:rsidR="0051797F" w:rsidRPr="002F42E0">
        <w:rPr>
          <w:lang w:eastAsia="cs-CZ"/>
        </w:rPr>
        <w:t xml:space="preserve"> smlouvy</w:t>
      </w:r>
      <w:r w:rsidR="0051797F">
        <w:rPr>
          <w:lang w:eastAsia="cs-CZ"/>
        </w:rPr>
        <w:t>,</w:t>
      </w:r>
      <w:r w:rsidR="0051797F" w:rsidRPr="009A2809">
        <w:rPr>
          <w:lang w:eastAsia="cs-CZ"/>
        </w:rPr>
        <w:t xml:space="preserve"> </w:t>
      </w:r>
      <w:r w:rsidR="0051797F">
        <w:rPr>
          <w:lang w:eastAsia="cs-CZ"/>
        </w:rPr>
        <w:t xml:space="preserve">příp. </w:t>
      </w:r>
      <w:r w:rsidR="00417717">
        <w:rPr>
          <w:lang w:eastAsia="cs-CZ"/>
        </w:rPr>
        <w:t xml:space="preserve">realizovat </w:t>
      </w:r>
      <w:r w:rsidR="0051797F">
        <w:rPr>
          <w:lang w:eastAsia="cs-CZ"/>
        </w:rPr>
        <w:t xml:space="preserve">vlastní dílčí objednávky. </w:t>
      </w:r>
    </w:p>
    <w:p w:rsidR="004408C9" w:rsidRDefault="00E83993" w:rsidP="00AD001D">
      <w:pPr>
        <w:pStyle w:val="Odstavecseseznamem"/>
        <w:numPr>
          <w:ilvl w:val="0"/>
          <w:numId w:val="33"/>
        </w:numPr>
        <w:spacing w:before="120"/>
        <w:contextualSpacing w:val="0"/>
        <w:rPr>
          <w:lang w:eastAsia="cs-CZ"/>
        </w:rPr>
      </w:pPr>
      <w:r>
        <w:rPr>
          <w:lang w:eastAsia="cs-CZ"/>
        </w:rPr>
        <w:t>Ministerstvo financí jako centrální zadavatel v rámci přípravy jednotlivých centrálních zadávacích řízení provádí:</w:t>
      </w:r>
    </w:p>
    <w:p w:rsidR="00E83993" w:rsidRDefault="00E83993" w:rsidP="00E83993">
      <w:pPr>
        <w:pStyle w:val="Odstavecseseznamem"/>
        <w:numPr>
          <w:ilvl w:val="1"/>
          <w:numId w:val="33"/>
        </w:numPr>
        <w:spacing w:before="120"/>
        <w:contextualSpacing w:val="0"/>
        <w:rPr>
          <w:lang w:eastAsia="cs-CZ"/>
        </w:rPr>
      </w:pPr>
      <w:r>
        <w:rPr>
          <w:lang w:eastAsia="cs-CZ"/>
        </w:rPr>
        <w:t>Sběr a agregaci předběžných požadavků na centrální nákup</w:t>
      </w:r>
    </w:p>
    <w:p w:rsidR="00E83993" w:rsidRDefault="00E83993" w:rsidP="00E83993">
      <w:pPr>
        <w:pStyle w:val="Odstavecseseznamem"/>
        <w:numPr>
          <w:ilvl w:val="1"/>
          <w:numId w:val="33"/>
        </w:numPr>
        <w:spacing w:before="120"/>
        <w:contextualSpacing w:val="0"/>
        <w:rPr>
          <w:lang w:eastAsia="cs-CZ"/>
        </w:rPr>
      </w:pPr>
      <w:r>
        <w:rPr>
          <w:lang w:eastAsia="cs-CZ"/>
        </w:rPr>
        <w:t>Sběr dalších podkladů nezbytných pro přípravu zadávacího řízení</w:t>
      </w:r>
    </w:p>
    <w:p w:rsidR="00E83993" w:rsidRDefault="00E83993" w:rsidP="00E83993">
      <w:pPr>
        <w:pStyle w:val="Odstavecseseznamem"/>
        <w:numPr>
          <w:ilvl w:val="1"/>
          <w:numId w:val="33"/>
        </w:numPr>
        <w:spacing w:before="120"/>
        <w:contextualSpacing w:val="0"/>
        <w:rPr>
          <w:lang w:eastAsia="cs-CZ"/>
        </w:rPr>
      </w:pPr>
      <w:r>
        <w:rPr>
          <w:lang w:eastAsia="cs-CZ"/>
        </w:rPr>
        <w:t>Přípravu podrobné technické specifikace</w:t>
      </w:r>
    </w:p>
    <w:p w:rsidR="00E83993" w:rsidRDefault="00E83993" w:rsidP="00E83993">
      <w:pPr>
        <w:pStyle w:val="Odstavecseseznamem"/>
        <w:numPr>
          <w:ilvl w:val="1"/>
          <w:numId w:val="33"/>
        </w:numPr>
        <w:spacing w:before="120"/>
        <w:contextualSpacing w:val="0"/>
        <w:rPr>
          <w:lang w:eastAsia="cs-CZ"/>
        </w:rPr>
      </w:pPr>
      <w:r>
        <w:rPr>
          <w:lang w:eastAsia="cs-CZ"/>
        </w:rPr>
        <w:t>Přípravu zadávací dokumentace včetně návrhu rámcové smlouvy</w:t>
      </w:r>
    </w:p>
    <w:p w:rsidR="00956A7F" w:rsidRDefault="00E83993" w:rsidP="00956A7F">
      <w:pPr>
        <w:pStyle w:val="Odstavecseseznamem"/>
        <w:numPr>
          <w:ilvl w:val="1"/>
          <w:numId w:val="33"/>
        </w:numPr>
        <w:spacing w:before="120"/>
        <w:contextualSpacing w:val="0"/>
        <w:rPr>
          <w:lang w:eastAsia="cs-CZ"/>
        </w:rPr>
      </w:pPr>
      <w:r>
        <w:rPr>
          <w:lang w:eastAsia="cs-CZ"/>
        </w:rPr>
        <w:t>Sběr požadavků na centrální nákup</w:t>
      </w:r>
      <w:r w:rsidRPr="00D54C11">
        <w:rPr>
          <w:lang w:eastAsia="cs-CZ"/>
        </w:rPr>
        <w:t xml:space="preserve"> </w:t>
      </w:r>
      <w:r>
        <w:rPr>
          <w:lang w:eastAsia="cs-CZ"/>
        </w:rPr>
        <w:t>dl</w:t>
      </w:r>
      <w:r w:rsidR="00956A7F">
        <w:rPr>
          <w:lang w:eastAsia="cs-CZ"/>
        </w:rPr>
        <w:t>e navržené technické specifikace</w:t>
      </w:r>
    </w:p>
    <w:p w:rsidR="005A645A" w:rsidRDefault="005A645A" w:rsidP="00E83993">
      <w:pPr>
        <w:pStyle w:val="Odstavecseseznamem"/>
        <w:numPr>
          <w:ilvl w:val="0"/>
          <w:numId w:val="33"/>
        </w:numPr>
        <w:spacing w:before="120"/>
        <w:contextualSpacing w:val="0"/>
        <w:rPr>
          <w:lang w:eastAsia="cs-CZ"/>
        </w:rPr>
      </w:pPr>
      <w:r>
        <w:rPr>
          <w:lang w:eastAsia="cs-CZ"/>
        </w:rPr>
        <w:t xml:space="preserve">Ministerstvo financí jako centrální zadavatel zajišťuje plnění zákonem stanovených </w:t>
      </w:r>
      <w:r>
        <w:rPr>
          <w:szCs w:val="22"/>
        </w:rPr>
        <w:t xml:space="preserve">uveřejňovacích povinností, zejména </w:t>
      </w:r>
      <w:r w:rsidRPr="00EF1085">
        <w:rPr>
          <w:szCs w:val="22"/>
        </w:rPr>
        <w:t xml:space="preserve">uveřejňování výsledků </w:t>
      </w:r>
      <w:r w:rsidR="00E24662">
        <w:rPr>
          <w:szCs w:val="22"/>
        </w:rPr>
        <w:t xml:space="preserve">centralizovaných veřejných zakázek </w:t>
      </w:r>
      <w:r w:rsidRPr="00EF1085">
        <w:rPr>
          <w:szCs w:val="22"/>
        </w:rPr>
        <w:t>zadan</w:t>
      </w:r>
      <w:r>
        <w:rPr>
          <w:szCs w:val="22"/>
        </w:rPr>
        <w:t xml:space="preserve">ých na základě rámcové smlouvy, </w:t>
      </w:r>
      <w:r w:rsidRPr="00EF1085">
        <w:rPr>
          <w:szCs w:val="22"/>
        </w:rPr>
        <w:t>skutečné uhrazené celko</w:t>
      </w:r>
      <w:r>
        <w:rPr>
          <w:szCs w:val="22"/>
        </w:rPr>
        <w:t>vé ceny v rámci rámcové smlouvy a</w:t>
      </w:r>
      <w:r w:rsidRPr="00EF1085">
        <w:rPr>
          <w:szCs w:val="22"/>
        </w:rPr>
        <w:t xml:space="preserve"> seznamu subdodavatelů</w:t>
      </w:r>
      <w:r>
        <w:rPr>
          <w:szCs w:val="22"/>
        </w:rPr>
        <w:t>.</w:t>
      </w:r>
    </w:p>
    <w:p w:rsidR="00E83993" w:rsidRDefault="00E915C7" w:rsidP="00E83993">
      <w:pPr>
        <w:pStyle w:val="Odstavecseseznamem"/>
        <w:numPr>
          <w:ilvl w:val="0"/>
          <w:numId w:val="33"/>
        </w:numPr>
        <w:spacing w:before="120"/>
        <w:contextualSpacing w:val="0"/>
        <w:rPr>
          <w:lang w:eastAsia="cs-CZ"/>
        </w:rPr>
      </w:pPr>
      <w:r>
        <w:rPr>
          <w:lang w:eastAsia="cs-CZ"/>
        </w:rPr>
        <w:t>Pověřující</w:t>
      </w:r>
      <w:r w:rsidR="00FE0B76">
        <w:rPr>
          <w:lang w:eastAsia="cs-CZ"/>
        </w:rPr>
        <w:t xml:space="preserve"> zadavatelé</w:t>
      </w:r>
      <w:r w:rsidR="00E83993">
        <w:rPr>
          <w:lang w:eastAsia="cs-CZ"/>
        </w:rPr>
        <w:t xml:space="preserve"> Ministerstvu financí v rámci přípravy jednotlivých centrálních zadávacích řízení na jeho žádost </w:t>
      </w:r>
      <w:r>
        <w:rPr>
          <w:lang w:eastAsia="cs-CZ"/>
        </w:rPr>
        <w:t>poskytují</w:t>
      </w:r>
      <w:r w:rsidR="00E83993">
        <w:rPr>
          <w:lang w:eastAsia="cs-CZ"/>
        </w:rPr>
        <w:t>:</w:t>
      </w:r>
    </w:p>
    <w:p w:rsidR="00E83993" w:rsidRDefault="00E83993" w:rsidP="00E83993">
      <w:pPr>
        <w:pStyle w:val="Odstavecseseznamem"/>
        <w:numPr>
          <w:ilvl w:val="1"/>
          <w:numId w:val="33"/>
        </w:numPr>
        <w:spacing w:before="120"/>
        <w:contextualSpacing w:val="0"/>
        <w:rPr>
          <w:lang w:eastAsia="cs-CZ"/>
        </w:rPr>
      </w:pPr>
      <w:r>
        <w:rPr>
          <w:lang w:eastAsia="cs-CZ"/>
        </w:rPr>
        <w:t>Předběžné požadavky na centrální nákup</w:t>
      </w:r>
    </w:p>
    <w:p w:rsidR="00E83993" w:rsidRDefault="00E83993" w:rsidP="00E83993">
      <w:pPr>
        <w:pStyle w:val="Odstavecseseznamem"/>
        <w:numPr>
          <w:ilvl w:val="1"/>
          <w:numId w:val="33"/>
        </w:numPr>
        <w:spacing w:before="120"/>
        <w:contextualSpacing w:val="0"/>
        <w:rPr>
          <w:lang w:eastAsia="cs-CZ"/>
        </w:rPr>
      </w:pPr>
      <w:r>
        <w:rPr>
          <w:lang w:eastAsia="cs-CZ"/>
        </w:rPr>
        <w:t>Další podklady nezbytné pro přípravu zadávacího řízení, zejména pak podklady potřebné pro přípravu zadávací dokumentace</w:t>
      </w:r>
    </w:p>
    <w:p w:rsidR="00E83993" w:rsidRDefault="00E83993" w:rsidP="00E83993">
      <w:pPr>
        <w:pStyle w:val="Odstavecseseznamem"/>
        <w:numPr>
          <w:ilvl w:val="1"/>
          <w:numId w:val="33"/>
        </w:numPr>
        <w:spacing w:before="120"/>
        <w:contextualSpacing w:val="0"/>
        <w:rPr>
          <w:lang w:eastAsia="cs-CZ"/>
        </w:rPr>
      </w:pPr>
      <w:r>
        <w:rPr>
          <w:lang w:eastAsia="cs-CZ"/>
        </w:rPr>
        <w:t>Závazné požadavky na centrální nákup dle navržené technické specifikace</w:t>
      </w:r>
    </w:p>
    <w:p w:rsidR="00E83993" w:rsidRDefault="00E83993" w:rsidP="00E83993">
      <w:pPr>
        <w:pStyle w:val="Odstavecseseznamem"/>
        <w:numPr>
          <w:ilvl w:val="0"/>
          <w:numId w:val="33"/>
        </w:numPr>
        <w:spacing w:before="120"/>
        <w:contextualSpacing w:val="0"/>
        <w:rPr>
          <w:lang w:eastAsia="cs-CZ"/>
        </w:rPr>
      </w:pPr>
      <w:r>
        <w:rPr>
          <w:lang w:eastAsia="cs-CZ"/>
        </w:rPr>
        <w:t xml:space="preserve">Dále </w:t>
      </w:r>
      <w:r w:rsidR="00E915C7">
        <w:rPr>
          <w:lang w:eastAsia="cs-CZ"/>
        </w:rPr>
        <w:t>pověřující</w:t>
      </w:r>
      <w:r w:rsidR="00FE0B76">
        <w:rPr>
          <w:lang w:eastAsia="cs-CZ"/>
        </w:rPr>
        <w:t xml:space="preserve"> zadavatelé</w:t>
      </w:r>
      <w:r w:rsidRPr="00C331B2">
        <w:rPr>
          <w:lang w:eastAsia="cs-CZ"/>
        </w:rPr>
        <w:t xml:space="preserve"> </w:t>
      </w:r>
      <w:r>
        <w:rPr>
          <w:lang w:eastAsia="cs-CZ"/>
        </w:rPr>
        <w:t>v rámci přípravy a realizace jednotlivých centrálních zadávacích řízení</w:t>
      </w:r>
      <w:r w:rsidRPr="0050119C">
        <w:rPr>
          <w:lang w:eastAsia="cs-CZ"/>
        </w:rPr>
        <w:t xml:space="preserve"> </w:t>
      </w:r>
    </w:p>
    <w:p w:rsidR="00E83993" w:rsidRDefault="00E915C7" w:rsidP="00E83993">
      <w:pPr>
        <w:pStyle w:val="Odstavecseseznamem"/>
        <w:numPr>
          <w:ilvl w:val="1"/>
          <w:numId w:val="33"/>
        </w:numPr>
        <w:spacing w:before="120"/>
        <w:contextualSpacing w:val="0"/>
        <w:rPr>
          <w:lang w:eastAsia="cs-CZ"/>
        </w:rPr>
      </w:pPr>
      <w:r>
        <w:rPr>
          <w:lang w:eastAsia="cs-CZ"/>
        </w:rPr>
        <w:t xml:space="preserve">Nominují </w:t>
      </w:r>
      <w:r w:rsidR="00E83993">
        <w:rPr>
          <w:lang w:eastAsia="cs-CZ"/>
        </w:rPr>
        <w:t>své zástupce a jejich náhradníky do pracovní skupiny pro přípravu zadávací dokumentace</w:t>
      </w:r>
    </w:p>
    <w:p w:rsidR="00E83993" w:rsidRDefault="00E915C7" w:rsidP="00E83993">
      <w:pPr>
        <w:pStyle w:val="Odstavecseseznamem"/>
        <w:numPr>
          <w:ilvl w:val="1"/>
          <w:numId w:val="33"/>
        </w:numPr>
        <w:spacing w:before="120"/>
        <w:contextualSpacing w:val="0"/>
        <w:rPr>
          <w:lang w:eastAsia="cs-CZ"/>
        </w:rPr>
      </w:pPr>
      <w:r>
        <w:rPr>
          <w:lang w:eastAsia="cs-CZ"/>
        </w:rPr>
        <w:t xml:space="preserve">Nominují </w:t>
      </w:r>
      <w:r w:rsidR="00E83993">
        <w:rPr>
          <w:lang w:eastAsia="cs-CZ"/>
        </w:rPr>
        <w:t xml:space="preserve">své zástupce a jejich náhradníky do komise pro posouzení kvalifikace </w:t>
      </w:r>
      <w:r w:rsidR="00462FB9">
        <w:rPr>
          <w:lang w:eastAsia="cs-CZ"/>
        </w:rPr>
        <w:br/>
      </w:r>
      <w:r w:rsidR="00E83993">
        <w:rPr>
          <w:lang w:eastAsia="cs-CZ"/>
        </w:rPr>
        <w:t>a komise pro hodnocení nabídek</w:t>
      </w:r>
    </w:p>
    <w:p w:rsidR="00E83993" w:rsidRDefault="00E915C7" w:rsidP="00E83993">
      <w:pPr>
        <w:pStyle w:val="Odstavecseseznamem"/>
        <w:numPr>
          <w:ilvl w:val="1"/>
          <w:numId w:val="33"/>
        </w:numPr>
        <w:spacing w:before="120"/>
        <w:contextualSpacing w:val="0"/>
        <w:rPr>
          <w:lang w:eastAsia="cs-CZ"/>
        </w:rPr>
      </w:pPr>
      <w:r>
        <w:rPr>
          <w:lang w:eastAsia="cs-CZ"/>
        </w:rPr>
        <w:t>Poskyt</w:t>
      </w:r>
      <w:r w:rsidR="002575B6">
        <w:rPr>
          <w:lang w:eastAsia="cs-CZ"/>
        </w:rPr>
        <w:t xml:space="preserve">nou </w:t>
      </w:r>
      <w:r w:rsidR="00E83993">
        <w:rPr>
          <w:lang w:eastAsia="cs-CZ"/>
        </w:rPr>
        <w:t xml:space="preserve">centrálnímu zadavateli součinnost nezbytnou pro plnění </w:t>
      </w:r>
      <w:r w:rsidR="005A645A">
        <w:rPr>
          <w:lang w:eastAsia="cs-CZ"/>
        </w:rPr>
        <w:t xml:space="preserve">zákonem stanovených </w:t>
      </w:r>
      <w:r w:rsidR="00E83993">
        <w:rPr>
          <w:lang w:eastAsia="cs-CZ"/>
        </w:rPr>
        <w:t xml:space="preserve">uveřejňovacích povinností </w:t>
      </w:r>
    </w:p>
    <w:p w:rsidR="00E83993" w:rsidRDefault="00E83993" w:rsidP="00E83993">
      <w:pPr>
        <w:pStyle w:val="Odstavecseseznamem"/>
        <w:numPr>
          <w:ilvl w:val="0"/>
          <w:numId w:val="33"/>
        </w:numPr>
        <w:spacing w:before="120"/>
        <w:contextualSpacing w:val="0"/>
        <w:rPr>
          <w:lang w:eastAsia="cs-CZ"/>
        </w:rPr>
      </w:pPr>
      <w:r w:rsidRPr="002F42E0">
        <w:rPr>
          <w:lang w:eastAsia="cs-CZ"/>
        </w:rPr>
        <w:t xml:space="preserve">Ministerstvo financí bude dbát na to, aby byl v rámcových smlouvách nastaven takový společný rámec objednávání, dodávání a fakturace, který bude co nejméně administrativně zatěžující a zároveň umožní přiměřeně operativní reakci na nákupní požadavky </w:t>
      </w:r>
      <w:r w:rsidR="002A13DD">
        <w:rPr>
          <w:lang w:eastAsia="cs-CZ"/>
        </w:rPr>
        <w:t>pověřujících</w:t>
      </w:r>
      <w:r>
        <w:rPr>
          <w:lang w:eastAsia="cs-CZ"/>
        </w:rPr>
        <w:t xml:space="preserve"> zadavatelů</w:t>
      </w:r>
      <w:r w:rsidRPr="002F42E0">
        <w:rPr>
          <w:lang w:eastAsia="cs-CZ"/>
        </w:rPr>
        <w:t>.</w:t>
      </w:r>
    </w:p>
    <w:p w:rsidR="00E83993" w:rsidRDefault="00E83993" w:rsidP="00E83993">
      <w:pPr>
        <w:pStyle w:val="Odstavecseseznamem"/>
        <w:numPr>
          <w:ilvl w:val="0"/>
          <w:numId w:val="33"/>
        </w:numPr>
        <w:spacing w:before="120"/>
        <w:contextualSpacing w:val="0"/>
        <w:rPr>
          <w:lang w:eastAsia="cs-CZ"/>
        </w:rPr>
      </w:pPr>
      <w:r w:rsidRPr="002F42E0">
        <w:rPr>
          <w:lang w:eastAsia="cs-CZ"/>
        </w:rPr>
        <w:t xml:space="preserve">Ministerstvo financí umožní </w:t>
      </w:r>
      <w:r w:rsidR="002A13DD" w:rsidRPr="002F42E0">
        <w:rPr>
          <w:lang w:eastAsia="cs-CZ"/>
        </w:rPr>
        <w:t>v případě jejich zájmu přistoupení k</w:t>
      </w:r>
      <w:r w:rsidR="00807365">
        <w:rPr>
          <w:lang w:eastAsia="cs-CZ"/>
        </w:rPr>
        <w:t xml:space="preserve"> meziresortnímu </w:t>
      </w:r>
      <w:r w:rsidR="002A13DD" w:rsidRPr="002F42E0">
        <w:rPr>
          <w:lang w:eastAsia="cs-CZ"/>
        </w:rPr>
        <w:t>sys</w:t>
      </w:r>
      <w:r w:rsidR="002A13DD">
        <w:rPr>
          <w:lang w:eastAsia="cs-CZ"/>
        </w:rPr>
        <w:t xml:space="preserve">tému </w:t>
      </w:r>
      <w:r w:rsidR="00752D86">
        <w:rPr>
          <w:lang w:eastAsia="cs-CZ"/>
        </w:rPr>
        <w:t>centrálního nákupu</w:t>
      </w:r>
      <w:r w:rsidR="002A13DD">
        <w:rPr>
          <w:lang w:eastAsia="cs-CZ"/>
        </w:rPr>
        <w:t xml:space="preserve"> i </w:t>
      </w:r>
      <w:r w:rsidR="002A13DD" w:rsidRPr="002F42E0">
        <w:rPr>
          <w:lang w:eastAsia="cs-CZ"/>
        </w:rPr>
        <w:t>ostatní</w:t>
      </w:r>
      <w:r w:rsidR="002A13DD">
        <w:rPr>
          <w:lang w:eastAsia="cs-CZ"/>
        </w:rPr>
        <w:t>m</w:t>
      </w:r>
      <w:r w:rsidR="002A13DD" w:rsidRPr="002F42E0">
        <w:rPr>
          <w:lang w:eastAsia="cs-CZ"/>
        </w:rPr>
        <w:t xml:space="preserve"> ústřední</w:t>
      </w:r>
      <w:r w:rsidR="002A13DD">
        <w:rPr>
          <w:lang w:eastAsia="cs-CZ"/>
        </w:rPr>
        <w:t>m</w:t>
      </w:r>
      <w:r w:rsidR="002A13DD" w:rsidRPr="002F42E0">
        <w:rPr>
          <w:lang w:eastAsia="cs-CZ"/>
        </w:rPr>
        <w:t xml:space="preserve"> orgán</w:t>
      </w:r>
      <w:r w:rsidR="002A13DD">
        <w:rPr>
          <w:lang w:eastAsia="cs-CZ"/>
        </w:rPr>
        <w:t>ům</w:t>
      </w:r>
      <w:r w:rsidR="002A13DD" w:rsidRPr="002F42E0">
        <w:rPr>
          <w:lang w:eastAsia="cs-CZ"/>
        </w:rPr>
        <w:t xml:space="preserve"> státní správy, v jejichž čele nestojí člen vlády ČR</w:t>
      </w:r>
      <w:r w:rsidR="00116EED">
        <w:rPr>
          <w:lang w:eastAsia="cs-CZ"/>
        </w:rPr>
        <w:t>, a státním organizacím</w:t>
      </w:r>
      <w:r w:rsidRPr="002F42E0">
        <w:rPr>
          <w:lang w:eastAsia="cs-CZ"/>
        </w:rPr>
        <w:t>.</w:t>
      </w:r>
      <w:r w:rsidR="00041652">
        <w:rPr>
          <w:lang w:eastAsia="cs-CZ"/>
        </w:rPr>
        <w:t xml:space="preserve"> Takové přistoupení bude možné na základě uzavření smlouvy o centralizovaném zadávání před samotným zahájením centralizovaného zadávacího řízení.</w:t>
      </w:r>
    </w:p>
    <w:p w:rsidR="000777CB" w:rsidRDefault="000777CB" w:rsidP="00035C45">
      <w:pPr>
        <w:pStyle w:val="Odstavecseseznamem"/>
        <w:numPr>
          <w:ilvl w:val="0"/>
          <w:numId w:val="33"/>
        </w:numPr>
        <w:spacing w:before="120"/>
        <w:contextualSpacing w:val="0"/>
        <w:rPr>
          <w:lang w:eastAsia="cs-CZ"/>
        </w:rPr>
      </w:pPr>
      <w:r>
        <w:rPr>
          <w:lang w:eastAsia="cs-CZ"/>
        </w:rPr>
        <w:lastRenderedPageBreak/>
        <w:t xml:space="preserve">Pro účely </w:t>
      </w:r>
      <w:r w:rsidR="00752D86">
        <w:rPr>
          <w:lang w:eastAsia="cs-CZ"/>
        </w:rPr>
        <w:t>centrálního nákupu státu</w:t>
      </w:r>
      <w:r>
        <w:rPr>
          <w:lang w:eastAsia="cs-CZ"/>
        </w:rPr>
        <w:t xml:space="preserve"> Ministerstvo financí vychází z metodických pokynů k centralizovanému zadávání veřejných zakázek, vzorových smluv a vzorových zadávacích podmínek, které stanovuje v souladu s usnesením vlády k resortním systémům centralizovaného zadávání veřejných zakázek ústředních orgánů státní správy Ministerstvo pro místní rozvoj</w:t>
      </w:r>
      <w:r w:rsidR="00370008">
        <w:rPr>
          <w:lang w:eastAsia="cs-CZ"/>
        </w:rPr>
        <w:t>, pakliže jsou tyto stanoveny</w:t>
      </w:r>
      <w:r>
        <w:rPr>
          <w:lang w:eastAsia="cs-CZ"/>
        </w:rPr>
        <w:t>.</w:t>
      </w:r>
    </w:p>
    <w:p w:rsidR="00370008" w:rsidRPr="002F42E0" w:rsidRDefault="006F2FC3">
      <w:pPr>
        <w:pStyle w:val="Odstavecseseznamem"/>
        <w:numPr>
          <w:ilvl w:val="0"/>
          <w:numId w:val="33"/>
        </w:numPr>
        <w:spacing w:before="120"/>
        <w:contextualSpacing w:val="0"/>
        <w:rPr>
          <w:lang w:eastAsia="cs-CZ"/>
        </w:rPr>
      </w:pPr>
      <w:r>
        <w:rPr>
          <w:lang w:eastAsia="cs-CZ"/>
        </w:rPr>
        <w:t xml:space="preserve">Ministerstvo financí zpracovává a předkládá vládě ČR po skončení každého kalendářního roku zprávu o hodnocení postupu v oblasti standardizace a </w:t>
      </w:r>
      <w:r w:rsidRPr="006F2FC3">
        <w:rPr>
          <w:lang w:eastAsia="cs-CZ"/>
        </w:rPr>
        <w:t>centrálního nákupu státu</w:t>
      </w:r>
      <w:r>
        <w:rPr>
          <w:lang w:eastAsia="cs-CZ"/>
        </w:rPr>
        <w:t>, jejíž přípravu po věcné i procesní stránce koordinuje s Ministerstvem pro místní rozvoj, které vládě ČR předkládá každý rok zprávu o hodnocení resortních systémů centralizovaného zadávání.</w:t>
      </w:r>
    </w:p>
    <w:p w:rsidR="00A1234E" w:rsidRDefault="00A1234E" w:rsidP="00724313">
      <w:pPr>
        <w:rPr>
          <w:noProof/>
          <w:lang w:eastAsia="cs-CZ"/>
        </w:rPr>
      </w:pPr>
    </w:p>
    <w:sectPr w:rsidR="00A1234E" w:rsidSect="007D031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26F" w:rsidRDefault="003E326F" w:rsidP="000429C5">
      <w:r>
        <w:separator/>
      </w:r>
    </w:p>
    <w:p w:rsidR="003E326F" w:rsidRDefault="003E326F"/>
  </w:endnote>
  <w:endnote w:type="continuationSeparator" w:id="0">
    <w:p w:rsidR="003E326F" w:rsidRDefault="003E326F" w:rsidP="000429C5">
      <w:r>
        <w:continuationSeparator/>
      </w:r>
    </w:p>
    <w:p w:rsidR="003E326F" w:rsidRDefault="003E3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EE"/>
    <w:family w:val="swiss"/>
    <w:pitch w:val="variable"/>
    <w:sig w:usb0="E00002FF" w:usb1="4000A47B"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829" w:rsidRPr="00B40C0C" w:rsidRDefault="003C028E" w:rsidP="00462FB9">
    <w:pPr>
      <w:pStyle w:val="Zpat"/>
      <w:jc w:val="center"/>
    </w:pPr>
    <w:r w:rsidRPr="00AE4A27">
      <w:t xml:space="preserve">Strana </w:t>
    </w:r>
    <w:r w:rsidRPr="00AE4A27">
      <w:fldChar w:fldCharType="begin"/>
    </w:r>
    <w:r w:rsidRPr="00AE4A27">
      <w:instrText xml:space="preserve"> PAGE  \* Arabic  \* MERGEFORMAT </w:instrText>
    </w:r>
    <w:r w:rsidRPr="00AE4A27">
      <w:fldChar w:fldCharType="separate"/>
    </w:r>
    <w:r w:rsidR="00901903">
      <w:rPr>
        <w:noProof/>
      </w:rPr>
      <w:t>2</w:t>
    </w:r>
    <w:r w:rsidRPr="00AE4A27">
      <w:rPr>
        <w:noProof/>
      </w:rPr>
      <w:fldChar w:fldCharType="end"/>
    </w:r>
    <w:r w:rsidRPr="00AE4A27">
      <w:t xml:space="preserve"> z </w:t>
    </w:r>
    <w:r w:rsidRPr="00AE4A27">
      <w:fldChar w:fldCharType="begin"/>
    </w:r>
    <w:r w:rsidRPr="00AE4A27">
      <w:instrText>NUMPAGES</w:instrText>
    </w:r>
    <w:r w:rsidRPr="00AE4A27">
      <w:fldChar w:fldCharType="separate"/>
    </w:r>
    <w:r w:rsidR="00901903">
      <w:t>5</w:t>
    </w:r>
    <w:r w:rsidRPr="00AE4A2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26F" w:rsidRDefault="003E326F" w:rsidP="000429C5">
      <w:r>
        <w:separator/>
      </w:r>
    </w:p>
    <w:p w:rsidR="003E326F" w:rsidRDefault="003E326F"/>
  </w:footnote>
  <w:footnote w:type="continuationSeparator" w:id="0">
    <w:p w:rsidR="003E326F" w:rsidRDefault="003E326F" w:rsidP="000429C5">
      <w:r>
        <w:continuationSeparator/>
      </w:r>
    </w:p>
    <w:p w:rsidR="003E326F" w:rsidRDefault="003E326F"/>
  </w:footnote>
  <w:footnote w:id="1">
    <w:p w:rsidR="007444E9" w:rsidRDefault="007444E9" w:rsidP="007444E9">
      <w:pPr>
        <w:pStyle w:val="Textpoznpodarou"/>
      </w:pPr>
      <w:r>
        <w:rPr>
          <w:rStyle w:val="Znakapoznpodarou"/>
        </w:rPr>
        <w:footnoteRef/>
      </w:r>
      <w:r>
        <w:t xml:space="preserve"> Podřízenými organizacemi jsou myšleny organizační složky státu řízené ústředním orgánem státní správy nebo právnické osoby, které jsou zřízené ústředním orgánem státní správy nebo ve kterých má ústřední orgán státní správy majetková práva nebo v nich vykonává vliv na řízení, které jsou veřejným zadavatelem podle § 2 odst. 2 písm. a), b) a d) zákona č. 137/2006 Sb., o veřejných zakázkách, ve znění pozdějších předpisů. Seznam ústředních orgánů státní správy a jejich podřízených organizací vede na základě Usnesení vlády České republiky č. 563 ze dne 20. července 2011 k resortním systémům centralizovaného zadávání veřejných zakázek ústředních orgánů státní správy Ministerstvo pro místní rozvoj ČR.</w:t>
      </w:r>
    </w:p>
  </w:footnote>
  <w:footnote w:id="2">
    <w:p w:rsidR="002D4E15" w:rsidRDefault="002D4E15">
      <w:pPr>
        <w:pStyle w:val="Textpoznpodarou"/>
      </w:pPr>
      <w:r>
        <w:rPr>
          <w:rStyle w:val="Znakapoznpodarou"/>
        </w:rPr>
        <w:footnoteRef/>
      </w:r>
      <w:r>
        <w:t xml:space="preserve"> </w:t>
      </w:r>
      <w:r w:rsidRPr="002D4E15">
        <w:t xml:space="preserve">Kompletní číselník NIPEZ je uveřejněn v aplikaci NIPEZ dostupné </w:t>
      </w:r>
      <w:proofErr w:type="gramStart"/>
      <w:r w:rsidRPr="002D4E15">
        <w:t>na  http</w:t>
      </w:r>
      <w:proofErr w:type="gramEnd"/>
      <w:r w:rsidRPr="002D4E15">
        <w:t>://ciselnik.nipez.cz/faces/login.xhtml.</w:t>
      </w:r>
    </w:p>
  </w:footnote>
  <w:footnote w:id="3">
    <w:p w:rsidR="002B11B7" w:rsidRDefault="002B11B7" w:rsidP="002B11B7">
      <w:pPr>
        <w:pStyle w:val="Textpoznpodarou"/>
      </w:pPr>
      <w:r>
        <w:rPr>
          <w:rStyle w:val="Znakapoznpodarou"/>
        </w:rPr>
        <w:footnoteRef/>
      </w:r>
      <w:r>
        <w:t xml:space="preserve"> Jedná se zejména o směrnici Evropského parlamentu a Rady 2004/18/ES ze dne 31. března 2004 o koordinaci postupů při zadávání veřejných zakázek na stavební práce, dodávky a služby a směrnici Evropského parlamentu a Rady 2004/17/ES ze dne 31. března 2004 o koordinaci postupů při zadávání zakázek subjekty působícími v odvětví vodního hospodářství, energetiky, dopravy a poštovních služeb. Tyto směrnice budou s účinností ke dni 18. dubna 2016 zrušeny a nahrazeny směrnicí Evropského parlamentu a Rady 2014/24/EU ze dne 26. února 2014 o zadávání veřejných zakázek a o zrušení směrnice 2004/18/ES a směrnicí Evropského parlamentu a Rady 2014/25/EU ze dne 26. února 2014 o zadávání zakázek subjekty působícími v odvětví vodního hospodářství, energetiky, dopravy a poštovních služeb a o zrušení směrnice 2004/17/ES.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1D689E6"/>
    <w:lvl w:ilvl="0">
      <w:start w:val="1"/>
      <w:numFmt w:val="decimal"/>
      <w:lvlText w:val="%1."/>
      <w:lvlJc w:val="left"/>
      <w:pPr>
        <w:tabs>
          <w:tab w:val="num" w:pos="1492"/>
        </w:tabs>
        <w:ind w:left="1492" w:hanging="360"/>
      </w:pPr>
    </w:lvl>
  </w:abstractNum>
  <w:abstractNum w:abstractNumId="1">
    <w:nsid w:val="FFFFFF7D"/>
    <w:multiLevelType w:val="singleLevel"/>
    <w:tmpl w:val="4A54FB6C"/>
    <w:lvl w:ilvl="0">
      <w:start w:val="1"/>
      <w:numFmt w:val="decimal"/>
      <w:lvlText w:val="%1."/>
      <w:lvlJc w:val="left"/>
      <w:pPr>
        <w:tabs>
          <w:tab w:val="num" w:pos="1209"/>
        </w:tabs>
        <w:ind w:left="1209" w:hanging="360"/>
      </w:pPr>
    </w:lvl>
  </w:abstractNum>
  <w:abstractNum w:abstractNumId="2">
    <w:nsid w:val="FFFFFF7E"/>
    <w:multiLevelType w:val="singleLevel"/>
    <w:tmpl w:val="77C8915A"/>
    <w:lvl w:ilvl="0">
      <w:start w:val="1"/>
      <w:numFmt w:val="decimal"/>
      <w:lvlText w:val="%1."/>
      <w:lvlJc w:val="left"/>
      <w:pPr>
        <w:tabs>
          <w:tab w:val="num" w:pos="926"/>
        </w:tabs>
        <w:ind w:left="926" w:hanging="360"/>
      </w:pPr>
    </w:lvl>
  </w:abstractNum>
  <w:abstractNum w:abstractNumId="3">
    <w:nsid w:val="FFFFFF7F"/>
    <w:multiLevelType w:val="singleLevel"/>
    <w:tmpl w:val="451CCBD0"/>
    <w:lvl w:ilvl="0">
      <w:start w:val="1"/>
      <w:numFmt w:val="decimal"/>
      <w:lvlText w:val="%1."/>
      <w:lvlJc w:val="left"/>
      <w:pPr>
        <w:tabs>
          <w:tab w:val="num" w:pos="643"/>
        </w:tabs>
        <w:ind w:left="643" w:hanging="360"/>
      </w:pPr>
    </w:lvl>
  </w:abstractNum>
  <w:abstractNum w:abstractNumId="4">
    <w:nsid w:val="FFFFFF80"/>
    <w:multiLevelType w:val="singleLevel"/>
    <w:tmpl w:val="709209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AEA57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D678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0DC71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205146"/>
    <w:lvl w:ilvl="0">
      <w:start w:val="1"/>
      <w:numFmt w:val="decimal"/>
      <w:lvlText w:val="%1."/>
      <w:lvlJc w:val="left"/>
      <w:pPr>
        <w:tabs>
          <w:tab w:val="num" w:pos="360"/>
        </w:tabs>
        <w:ind w:left="360" w:hanging="360"/>
      </w:pPr>
    </w:lvl>
  </w:abstractNum>
  <w:abstractNum w:abstractNumId="9">
    <w:nsid w:val="FFFFFF89"/>
    <w:multiLevelType w:val="singleLevel"/>
    <w:tmpl w:val="CAF0F76E"/>
    <w:lvl w:ilvl="0">
      <w:start w:val="1"/>
      <w:numFmt w:val="bullet"/>
      <w:lvlText w:val=""/>
      <w:lvlJc w:val="left"/>
      <w:pPr>
        <w:tabs>
          <w:tab w:val="num" w:pos="360"/>
        </w:tabs>
        <w:ind w:left="360" w:hanging="360"/>
      </w:pPr>
      <w:rPr>
        <w:rFonts w:ascii="Symbol" w:hAnsi="Symbol" w:hint="default"/>
      </w:rPr>
    </w:lvl>
  </w:abstractNum>
  <w:abstractNum w:abstractNumId="10">
    <w:nsid w:val="0116568C"/>
    <w:multiLevelType w:val="multilevel"/>
    <w:tmpl w:val="0B7C0C12"/>
    <w:lvl w:ilvl="0">
      <w:start w:val="1"/>
      <w:numFmt w:val="decimal"/>
      <w:pStyle w:val="Nadpis1"/>
      <w:lvlText w:val="%1"/>
      <w:lvlJc w:val="left"/>
      <w:pPr>
        <w:ind w:left="360" w:hanging="360"/>
      </w:pPr>
      <w:rPr>
        <w:rFonts w:hint="default"/>
      </w:rPr>
    </w:lvl>
    <w:lvl w:ilvl="1">
      <w:start w:val="1"/>
      <w:numFmt w:val="decimal"/>
      <w:pStyle w:val="Nadpis2"/>
      <w:lvlText w:val="%1.%2"/>
      <w:lvlJc w:val="left"/>
      <w:pPr>
        <w:ind w:left="432" w:hanging="432"/>
      </w:pPr>
      <w:rPr>
        <w:rFonts w:hint="default"/>
      </w:rPr>
    </w:lvl>
    <w:lvl w:ilvl="2">
      <w:start w:val="1"/>
      <w:numFmt w:val="decimal"/>
      <w:pStyle w:val="Nadpis3"/>
      <w:lvlText w:val="%1.%2.%3"/>
      <w:lvlJc w:val="left"/>
      <w:pPr>
        <w:ind w:left="1072" w:hanging="504"/>
      </w:pPr>
      <w:rPr>
        <w:rFonts w:hint="default"/>
        <w:i w:val="0"/>
      </w:rPr>
    </w:lvl>
    <w:lvl w:ilvl="3">
      <w:start w:val="1"/>
      <w:numFmt w:val="decimal"/>
      <w:pStyle w:val="Nadpis4"/>
      <w:lvlText w:val="%1.%2.%3.%4"/>
      <w:lvlJc w:val="left"/>
      <w:pPr>
        <w:ind w:left="1728" w:hanging="10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1EF6EC0"/>
    <w:multiLevelType w:val="hybridMultilevel"/>
    <w:tmpl w:val="FB3E0536"/>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0AC0280E"/>
    <w:multiLevelType w:val="hybridMultilevel"/>
    <w:tmpl w:val="810E847C"/>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13DE6280"/>
    <w:multiLevelType w:val="hybridMultilevel"/>
    <w:tmpl w:val="9ABEDE5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nsid w:val="14412F87"/>
    <w:multiLevelType w:val="hybridMultilevel"/>
    <w:tmpl w:val="956259F8"/>
    <w:lvl w:ilvl="0" w:tplc="14927C7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A3638E1"/>
    <w:multiLevelType w:val="hybridMultilevel"/>
    <w:tmpl w:val="B3F8A5B0"/>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25BE1581"/>
    <w:multiLevelType w:val="hybridMultilevel"/>
    <w:tmpl w:val="0BE8293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B7F61F4"/>
    <w:multiLevelType w:val="hybridMultilevel"/>
    <w:tmpl w:val="956259F8"/>
    <w:lvl w:ilvl="0" w:tplc="14927C74">
      <w:start w:val="1"/>
      <w:numFmt w:val="decimal"/>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F145E06"/>
    <w:multiLevelType w:val="hybridMultilevel"/>
    <w:tmpl w:val="5120A276"/>
    <w:lvl w:ilvl="0" w:tplc="04050013">
      <w:start w:val="1"/>
      <w:numFmt w:val="upperRoman"/>
      <w:lvlText w:val="%1."/>
      <w:lvlJc w:val="righ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319C6008"/>
    <w:multiLevelType w:val="hybridMultilevel"/>
    <w:tmpl w:val="BB38F9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4CA651E3"/>
    <w:multiLevelType w:val="hybridMultilevel"/>
    <w:tmpl w:val="5EA444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0550BF1"/>
    <w:multiLevelType w:val="hybridMultilevel"/>
    <w:tmpl w:val="1E9CA4EC"/>
    <w:lvl w:ilvl="0" w:tplc="C7B02136">
      <w:start w:val="1"/>
      <w:numFmt w:val="bullet"/>
      <w:lvlText w:val=""/>
      <w:lvlJc w:val="left"/>
      <w:pPr>
        <w:ind w:left="720" w:hanging="360"/>
      </w:pPr>
      <w:rPr>
        <w:rFonts w:ascii="Symbol" w:hAnsi="Symbol" w:hint="default"/>
      </w:rPr>
    </w:lvl>
    <w:lvl w:ilvl="1" w:tplc="A366F4EC">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B4359C4"/>
    <w:multiLevelType w:val="hybridMultilevel"/>
    <w:tmpl w:val="F2F2E8BA"/>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634935A9"/>
    <w:multiLevelType w:val="hybridMultilevel"/>
    <w:tmpl w:val="58D2D5E6"/>
    <w:lvl w:ilvl="0" w:tplc="938A899E">
      <w:start w:val="1"/>
      <w:numFmt w:val="bullet"/>
      <w:pStyle w:val="Bulletslevel1"/>
      <w:lvlText w:val=""/>
      <w:lvlJc w:val="left"/>
      <w:pPr>
        <w:ind w:left="720" w:hanging="360"/>
      </w:pPr>
      <w:rPr>
        <w:rFonts w:ascii="Symbol" w:hAnsi="Symbol" w:hint="default"/>
        <w:b w:val="0"/>
        <w:i w:val="0"/>
        <w:sz w:val="19"/>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69A40910"/>
    <w:multiLevelType w:val="hybridMultilevel"/>
    <w:tmpl w:val="97BEEFF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E5455EF"/>
    <w:multiLevelType w:val="hybridMultilevel"/>
    <w:tmpl w:val="D0DC35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FA3144A"/>
    <w:multiLevelType w:val="hybridMultilevel"/>
    <w:tmpl w:val="F944439E"/>
    <w:lvl w:ilvl="0" w:tplc="04050015">
      <w:start w:val="1"/>
      <w:numFmt w:val="upp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nsid w:val="711A5400"/>
    <w:multiLevelType w:val="hybridMultilevel"/>
    <w:tmpl w:val="810E847C"/>
    <w:lvl w:ilvl="0" w:tplc="04050019">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nsid w:val="71A63B1F"/>
    <w:multiLevelType w:val="hybridMultilevel"/>
    <w:tmpl w:val="0BE8293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77F7202E"/>
    <w:multiLevelType w:val="hybridMultilevel"/>
    <w:tmpl w:val="9ABEDE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7C6D37AF"/>
    <w:multiLevelType w:val="hybridMultilevel"/>
    <w:tmpl w:val="D0DC35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num>
  <w:num w:numId="2">
    <w:abstractNumId w:val="21"/>
  </w:num>
  <w:num w:numId="3">
    <w:abstractNumId w:val="23"/>
  </w:num>
  <w:num w:numId="4">
    <w:abstractNumId w:val="20"/>
  </w:num>
  <w:num w:numId="5">
    <w:abstractNumId w:val="10"/>
  </w:num>
  <w:num w:numId="6">
    <w:abstractNumId w:val="10"/>
  </w:num>
  <w:num w:numId="7">
    <w:abstractNumId w:val="1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9"/>
  </w:num>
  <w:num w:numId="19">
    <w:abstractNumId w:val="10"/>
  </w:num>
  <w:num w:numId="20">
    <w:abstractNumId w:val="16"/>
  </w:num>
  <w:num w:numId="21">
    <w:abstractNumId w:val="24"/>
  </w:num>
  <w:num w:numId="22">
    <w:abstractNumId w:val="28"/>
  </w:num>
  <w:num w:numId="23">
    <w:abstractNumId w:val="22"/>
  </w:num>
  <w:num w:numId="24">
    <w:abstractNumId w:val="27"/>
  </w:num>
  <w:num w:numId="25">
    <w:abstractNumId w:val="12"/>
  </w:num>
  <w:num w:numId="26">
    <w:abstractNumId w:val="25"/>
  </w:num>
  <w:num w:numId="27">
    <w:abstractNumId w:val="29"/>
  </w:num>
  <w:num w:numId="28">
    <w:abstractNumId w:val="13"/>
  </w:num>
  <w:num w:numId="29">
    <w:abstractNumId w:val="14"/>
  </w:num>
  <w:num w:numId="30">
    <w:abstractNumId w:val="30"/>
  </w:num>
  <w:num w:numId="31">
    <w:abstractNumId w:val="26"/>
  </w:num>
  <w:num w:numId="32">
    <w:abstractNumId w:val="17"/>
  </w:num>
  <w:num w:numId="33">
    <w:abstractNumId w:val="11"/>
  </w:num>
  <w:num w:numId="34">
    <w:abstractNumId w:val="15"/>
  </w:num>
  <w:num w:numId="3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defaultTableStyle w:val="Tabulka4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AF6"/>
    <w:rsid w:val="00000506"/>
    <w:rsid w:val="000012DC"/>
    <w:rsid w:val="00002A80"/>
    <w:rsid w:val="0000627D"/>
    <w:rsid w:val="000105F6"/>
    <w:rsid w:val="00011587"/>
    <w:rsid w:val="00012E96"/>
    <w:rsid w:val="000170DE"/>
    <w:rsid w:val="00020C31"/>
    <w:rsid w:val="0002414D"/>
    <w:rsid w:val="00027596"/>
    <w:rsid w:val="00027A4F"/>
    <w:rsid w:val="000349DF"/>
    <w:rsid w:val="00035C45"/>
    <w:rsid w:val="00040E3E"/>
    <w:rsid w:val="00041652"/>
    <w:rsid w:val="0004243F"/>
    <w:rsid w:val="000429C5"/>
    <w:rsid w:val="00046186"/>
    <w:rsid w:val="000462CC"/>
    <w:rsid w:val="00046EA3"/>
    <w:rsid w:val="00047492"/>
    <w:rsid w:val="00047F05"/>
    <w:rsid w:val="000516C9"/>
    <w:rsid w:val="000516EE"/>
    <w:rsid w:val="00053D18"/>
    <w:rsid w:val="00054CA0"/>
    <w:rsid w:val="00055D52"/>
    <w:rsid w:val="0006056A"/>
    <w:rsid w:val="000631B5"/>
    <w:rsid w:val="00063CF6"/>
    <w:rsid w:val="00067C29"/>
    <w:rsid w:val="0007016A"/>
    <w:rsid w:val="00070641"/>
    <w:rsid w:val="000716BF"/>
    <w:rsid w:val="00071951"/>
    <w:rsid w:val="00073749"/>
    <w:rsid w:val="00074734"/>
    <w:rsid w:val="0007571F"/>
    <w:rsid w:val="000777CB"/>
    <w:rsid w:val="00080978"/>
    <w:rsid w:val="00081D29"/>
    <w:rsid w:val="00081FFB"/>
    <w:rsid w:val="00083D4E"/>
    <w:rsid w:val="000840BF"/>
    <w:rsid w:val="00087033"/>
    <w:rsid w:val="00090AC2"/>
    <w:rsid w:val="000927A8"/>
    <w:rsid w:val="000943E0"/>
    <w:rsid w:val="0009589A"/>
    <w:rsid w:val="00096973"/>
    <w:rsid w:val="000A23C1"/>
    <w:rsid w:val="000A7414"/>
    <w:rsid w:val="000A75AF"/>
    <w:rsid w:val="000B0636"/>
    <w:rsid w:val="000B2D85"/>
    <w:rsid w:val="000B40B9"/>
    <w:rsid w:val="000B5C9E"/>
    <w:rsid w:val="000C01EF"/>
    <w:rsid w:val="000C0FEC"/>
    <w:rsid w:val="000C1A33"/>
    <w:rsid w:val="000C4E14"/>
    <w:rsid w:val="000C56F2"/>
    <w:rsid w:val="000D0C06"/>
    <w:rsid w:val="000D1250"/>
    <w:rsid w:val="000D7A48"/>
    <w:rsid w:val="000E221B"/>
    <w:rsid w:val="000E4D0C"/>
    <w:rsid w:val="000E6BF6"/>
    <w:rsid w:val="000F3AE7"/>
    <w:rsid w:val="000F44B6"/>
    <w:rsid w:val="000F48D7"/>
    <w:rsid w:val="000F4C0B"/>
    <w:rsid w:val="000F78F0"/>
    <w:rsid w:val="000F7B42"/>
    <w:rsid w:val="000F7E54"/>
    <w:rsid w:val="001006BD"/>
    <w:rsid w:val="001006C9"/>
    <w:rsid w:val="00104558"/>
    <w:rsid w:val="001051F9"/>
    <w:rsid w:val="00106789"/>
    <w:rsid w:val="0010774C"/>
    <w:rsid w:val="0011039F"/>
    <w:rsid w:val="00110496"/>
    <w:rsid w:val="00112421"/>
    <w:rsid w:val="001131FA"/>
    <w:rsid w:val="00114775"/>
    <w:rsid w:val="00116EED"/>
    <w:rsid w:val="00117CFB"/>
    <w:rsid w:val="00122225"/>
    <w:rsid w:val="00124C3E"/>
    <w:rsid w:val="00125CEF"/>
    <w:rsid w:val="001273B8"/>
    <w:rsid w:val="00127D9C"/>
    <w:rsid w:val="001301AC"/>
    <w:rsid w:val="001307DA"/>
    <w:rsid w:val="00131339"/>
    <w:rsid w:val="001322D3"/>
    <w:rsid w:val="001349D4"/>
    <w:rsid w:val="00136A61"/>
    <w:rsid w:val="00137251"/>
    <w:rsid w:val="001374EF"/>
    <w:rsid w:val="001418B8"/>
    <w:rsid w:val="00143BD9"/>
    <w:rsid w:val="001442CF"/>
    <w:rsid w:val="001443FC"/>
    <w:rsid w:val="00146828"/>
    <w:rsid w:val="00147806"/>
    <w:rsid w:val="00150E69"/>
    <w:rsid w:val="001561C5"/>
    <w:rsid w:val="001607F5"/>
    <w:rsid w:val="0016134A"/>
    <w:rsid w:val="00166B2A"/>
    <w:rsid w:val="00173598"/>
    <w:rsid w:val="00182383"/>
    <w:rsid w:val="001874F5"/>
    <w:rsid w:val="00190CD9"/>
    <w:rsid w:val="00193421"/>
    <w:rsid w:val="0019400F"/>
    <w:rsid w:val="001967C8"/>
    <w:rsid w:val="001A23F2"/>
    <w:rsid w:val="001A262D"/>
    <w:rsid w:val="001A48A2"/>
    <w:rsid w:val="001A5F75"/>
    <w:rsid w:val="001C0737"/>
    <w:rsid w:val="001C2E3C"/>
    <w:rsid w:val="001D5F66"/>
    <w:rsid w:val="001D79F9"/>
    <w:rsid w:val="001D7B69"/>
    <w:rsid w:val="001E33CD"/>
    <w:rsid w:val="001E4366"/>
    <w:rsid w:val="001F0E2D"/>
    <w:rsid w:val="001F13FB"/>
    <w:rsid w:val="001F4DEE"/>
    <w:rsid w:val="001F6ED9"/>
    <w:rsid w:val="00200615"/>
    <w:rsid w:val="00200B40"/>
    <w:rsid w:val="00201946"/>
    <w:rsid w:val="0020302C"/>
    <w:rsid w:val="00204892"/>
    <w:rsid w:val="00205702"/>
    <w:rsid w:val="00211B31"/>
    <w:rsid w:val="0021474F"/>
    <w:rsid w:val="002155FB"/>
    <w:rsid w:val="00227C1D"/>
    <w:rsid w:val="00230089"/>
    <w:rsid w:val="0023051A"/>
    <w:rsid w:val="002308B6"/>
    <w:rsid w:val="00230C4F"/>
    <w:rsid w:val="00230F57"/>
    <w:rsid w:val="0023127E"/>
    <w:rsid w:val="002322B9"/>
    <w:rsid w:val="002323B2"/>
    <w:rsid w:val="00232A7C"/>
    <w:rsid w:val="0023454A"/>
    <w:rsid w:val="00235D74"/>
    <w:rsid w:val="00237AF6"/>
    <w:rsid w:val="00242BD5"/>
    <w:rsid w:val="00244807"/>
    <w:rsid w:val="0024481B"/>
    <w:rsid w:val="00256E30"/>
    <w:rsid w:val="00256FC1"/>
    <w:rsid w:val="002575B6"/>
    <w:rsid w:val="00261E3A"/>
    <w:rsid w:val="00264400"/>
    <w:rsid w:val="00265032"/>
    <w:rsid w:val="00266627"/>
    <w:rsid w:val="002719A9"/>
    <w:rsid w:val="002719C9"/>
    <w:rsid w:val="00272D05"/>
    <w:rsid w:val="00274347"/>
    <w:rsid w:val="00274BCB"/>
    <w:rsid w:val="0027645A"/>
    <w:rsid w:val="00276864"/>
    <w:rsid w:val="002768DC"/>
    <w:rsid w:val="00276FA1"/>
    <w:rsid w:val="002775CB"/>
    <w:rsid w:val="00281CC2"/>
    <w:rsid w:val="00285E19"/>
    <w:rsid w:val="00286547"/>
    <w:rsid w:val="0029326D"/>
    <w:rsid w:val="00297E2E"/>
    <w:rsid w:val="002A04A6"/>
    <w:rsid w:val="002A13DD"/>
    <w:rsid w:val="002A17B8"/>
    <w:rsid w:val="002A3A08"/>
    <w:rsid w:val="002A55DE"/>
    <w:rsid w:val="002B0C19"/>
    <w:rsid w:val="002B11B7"/>
    <w:rsid w:val="002B1352"/>
    <w:rsid w:val="002B6C00"/>
    <w:rsid w:val="002B6EB3"/>
    <w:rsid w:val="002B7BFD"/>
    <w:rsid w:val="002C0DE9"/>
    <w:rsid w:val="002C0F49"/>
    <w:rsid w:val="002C1A78"/>
    <w:rsid w:val="002C57F8"/>
    <w:rsid w:val="002D1435"/>
    <w:rsid w:val="002D3A16"/>
    <w:rsid w:val="002D3E5F"/>
    <w:rsid w:val="002D4E15"/>
    <w:rsid w:val="002E096E"/>
    <w:rsid w:val="002E1811"/>
    <w:rsid w:val="002E1BD4"/>
    <w:rsid w:val="002E272B"/>
    <w:rsid w:val="002E7A13"/>
    <w:rsid w:val="002F2221"/>
    <w:rsid w:val="002F4694"/>
    <w:rsid w:val="002F5233"/>
    <w:rsid w:val="002F588E"/>
    <w:rsid w:val="002F6099"/>
    <w:rsid w:val="00300636"/>
    <w:rsid w:val="0030127E"/>
    <w:rsid w:val="00301FB9"/>
    <w:rsid w:val="00302783"/>
    <w:rsid w:val="00304D56"/>
    <w:rsid w:val="0030613E"/>
    <w:rsid w:val="0030636C"/>
    <w:rsid w:val="003106DD"/>
    <w:rsid w:val="003108F3"/>
    <w:rsid w:val="003139C5"/>
    <w:rsid w:val="0031404B"/>
    <w:rsid w:val="00314443"/>
    <w:rsid w:val="00314A67"/>
    <w:rsid w:val="0031653F"/>
    <w:rsid w:val="00316570"/>
    <w:rsid w:val="00317E1A"/>
    <w:rsid w:val="00323D3E"/>
    <w:rsid w:val="003247CD"/>
    <w:rsid w:val="00324861"/>
    <w:rsid w:val="003256A0"/>
    <w:rsid w:val="003377BA"/>
    <w:rsid w:val="00346C34"/>
    <w:rsid w:val="00347A68"/>
    <w:rsid w:val="003512C7"/>
    <w:rsid w:val="00353463"/>
    <w:rsid w:val="003572F0"/>
    <w:rsid w:val="00361CA6"/>
    <w:rsid w:val="003635AF"/>
    <w:rsid w:val="00365470"/>
    <w:rsid w:val="00370008"/>
    <w:rsid w:val="00371276"/>
    <w:rsid w:val="00372C96"/>
    <w:rsid w:val="00373809"/>
    <w:rsid w:val="003763F6"/>
    <w:rsid w:val="00382DA7"/>
    <w:rsid w:val="003832B2"/>
    <w:rsid w:val="00384E9F"/>
    <w:rsid w:val="00385A1A"/>
    <w:rsid w:val="003879C3"/>
    <w:rsid w:val="00387A52"/>
    <w:rsid w:val="00387F1E"/>
    <w:rsid w:val="003906A2"/>
    <w:rsid w:val="00393396"/>
    <w:rsid w:val="003938AB"/>
    <w:rsid w:val="00395DCF"/>
    <w:rsid w:val="003A3120"/>
    <w:rsid w:val="003A3C59"/>
    <w:rsid w:val="003A433F"/>
    <w:rsid w:val="003A4707"/>
    <w:rsid w:val="003A5E19"/>
    <w:rsid w:val="003A7122"/>
    <w:rsid w:val="003B0978"/>
    <w:rsid w:val="003B3901"/>
    <w:rsid w:val="003C028E"/>
    <w:rsid w:val="003C08E3"/>
    <w:rsid w:val="003C399E"/>
    <w:rsid w:val="003C4282"/>
    <w:rsid w:val="003C5C0F"/>
    <w:rsid w:val="003D0944"/>
    <w:rsid w:val="003D2068"/>
    <w:rsid w:val="003D472C"/>
    <w:rsid w:val="003D4F5D"/>
    <w:rsid w:val="003D5DBE"/>
    <w:rsid w:val="003D612B"/>
    <w:rsid w:val="003D796A"/>
    <w:rsid w:val="003E2915"/>
    <w:rsid w:val="003E326F"/>
    <w:rsid w:val="003E4B1C"/>
    <w:rsid w:val="003E651F"/>
    <w:rsid w:val="003F1183"/>
    <w:rsid w:val="003F2BB5"/>
    <w:rsid w:val="003F4470"/>
    <w:rsid w:val="003F44AF"/>
    <w:rsid w:val="003F4858"/>
    <w:rsid w:val="003F64AB"/>
    <w:rsid w:val="003F7829"/>
    <w:rsid w:val="004023AC"/>
    <w:rsid w:val="00407719"/>
    <w:rsid w:val="00410DE6"/>
    <w:rsid w:val="00410FE7"/>
    <w:rsid w:val="00413FDE"/>
    <w:rsid w:val="00416CD2"/>
    <w:rsid w:val="00417717"/>
    <w:rsid w:val="004216A5"/>
    <w:rsid w:val="004255D5"/>
    <w:rsid w:val="00425B80"/>
    <w:rsid w:val="00425CB7"/>
    <w:rsid w:val="0042630B"/>
    <w:rsid w:val="004303A5"/>
    <w:rsid w:val="004304A4"/>
    <w:rsid w:val="00430A15"/>
    <w:rsid w:val="00433B80"/>
    <w:rsid w:val="004348E2"/>
    <w:rsid w:val="0043698C"/>
    <w:rsid w:val="004408C9"/>
    <w:rsid w:val="00441DB5"/>
    <w:rsid w:val="00442AA6"/>
    <w:rsid w:val="00446370"/>
    <w:rsid w:val="00447DCF"/>
    <w:rsid w:val="00452E17"/>
    <w:rsid w:val="004608A3"/>
    <w:rsid w:val="00460A94"/>
    <w:rsid w:val="00461354"/>
    <w:rsid w:val="00462FB9"/>
    <w:rsid w:val="0046345A"/>
    <w:rsid w:val="004638FD"/>
    <w:rsid w:val="004639EF"/>
    <w:rsid w:val="0046780C"/>
    <w:rsid w:val="0047580F"/>
    <w:rsid w:val="00477CD2"/>
    <w:rsid w:val="0048401F"/>
    <w:rsid w:val="004840A9"/>
    <w:rsid w:val="00484ED2"/>
    <w:rsid w:val="004907AE"/>
    <w:rsid w:val="004911C3"/>
    <w:rsid w:val="004931D9"/>
    <w:rsid w:val="0049546F"/>
    <w:rsid w:val="004962AA"/>
    <w:rsid w:val="00497113"/>
    <w:rsid w:val="004A3CF6"/>
    <w:rsid w:val="004A66CC"/>
    <w:rsid w:val="004B2823"/>
    <w:rsid w:val="004B47FA"/>
    <w:rsid w:val="004C2318"/>
    <w:rsid w:val="004C43B7"/>
    <w:rsid w:val="004C63C3"/>
    <w:rsid w:val="004C7EFD"/>
    <w:rsid w:val="004D2684"/>
    <w:rsid w:val="004D5770"/>
    <w:rsid w:val="004D66E6"/>
    <w:rsid w:val="004D7FEE"/>
    <w:rsid w:val="004E318C"/>
    <w:rsid w:val="004E7748"/>
    <w:rsid w:val="004F06CF"/>
    <w:rsid w:val="004F1054"/>
    <w:rsid w:val="004F1074"/>
    <w:rsid w:val="004F11DF"/>
    <w:rsid w:val="004F1227"/>
    <w:rsid w:val="004F1E6C"/>
    <w:rsid w:val="004F532E"/>
    <w:rsid w:val="00500212"/>
    <w:rsid w:val="00501F80"/>
    <w:rsid w:val="005050E3"/>
    <w:rsid w:val="00506CE3"/>
    <w:rsid w:val="00507345"/>
    <w:rsid w:val="00514E47"/>
    <w:rsid w:val="00517415"/>
    <w:rsid w:val="0051797F"/>
    <w:rsid w:val="00521BC9"/>
    <w:rsid w:val="00524643"/>
    <w:rsid w:val="00524A57"/>
    <w:rsid w:val="00525CF8"/>
    <w:rsid w:val="0052710A"/>
    <w:rsid w:val="00527660"/>
    <w:rsid w:val="00531806"/>
    <w:rsid w:val="00537A58"/>
    <w:rsid w:val="0054103E"/>
    <w:rsid w:val="00543874"/>
    <w:rsid w:val="005456C5"/>
    <w:rsid w:val="00556191"/>
    <w:rsid w:val="00556CC0"/>
    <w:rsid w:val="00557876"/>
    <w:rsid w:val="00557AAD"/>
    <w:rsid w:val="00557E7F"/>
    <w:rsid w:val="00561AAE"/>
    <w:rsid w:val="00562B14"/>
    <w:rsid w:val="00563B8E"/>
    <w:rsid w:val="0057024E"/>
    <w:rsid w:val="00571E43"/>
    <w:rsid w:val="00574B75"/>
    <w:rsid w:val="00576639"/>
    <w:rsid w:val="0058248E"/>
    <w:rsid w:val="005911C1"/>
    <w:rsid w:val="00594833"/>
    <w:rsid w:val="00594F3A"/>
    <w:rsid w:val="00595ED5"/>
    <w:rsid w:val="00595F34"/>
    <w:rsid w:val="005967A6"/>
    <w:rsid w:val="005A645A"/>
    <w:rsid w:val="005A70C1"/>
    <w:rsid w:val="005A7554"/>
    <w:rsid w:val="005B0AB8"/>
    <w:rsid w:val="005B0FA2"/>
    <w:rsid w:val="005B1A9B"/>
    <w:rsid w:val="005B580F"/>
    <w:rsid w:val="005B5EF5"/>
    <w:rsid w:val="005C0356"/>
    <w:rsid w:val="005C126F"/>
    <w:rsid w:val="005C142C"/>
    <w:rsid w:val="005C7873"/>
    <w:rsid w:val="005D2D24"/>
    <w:rsid w:val="005E1770"/>
    <w:rsid w:val="005E232B"/>
    <w:rsid w:val="005E4013"/>
    <w:rsid w:val="005E407A"/>
    <w:rsid w:val="005E61EB"/>
    <w:rsid w:val="005E6812"/>
    <w:rsid w:val="005F0284"/>
    <w:rsid w:val="005F2466"/>
    <w:rsid w:val="005F2CF0"/>
    <w:rsid w:val="005F555F"/>
    <w:rsid w:val="005F6447"/>
    <w:rsid w:val="00600603"/>
    <w:rsid w:val="00605D0F"/>
    <w:rsid w:val="00605DD7"/>
    <w:rsid w:val="00612E93"/>
    <w:rsid w:val="00614309"/>
    <w:rsid w:val="00615919"/>
    <w:rsid w:val="006163D3"/>
    <w:rsid w:val="00616AF3"/>
    <w:rsid w:val="00616C52"/>
    <w:rsid w:val="00620638"/>
    <w:rsid w:val="00621912"/>
    <w:rsid w:val="00630925"/>
    <w:rsid w:val="00632D9B"/>
    <w:rsid w:val="0063362D"/>
    <w:rsid w:val="00633E2D"/>
    <w:rsid w:val="006355BC"/>
    <w:rsid w:val="0063647E"/>
    <w:rsid w:val="0063702D"/>
    <w:rsid w:val="00640FA6"/>
    <w:rsid w:val="006436C0"/>
    <w:rsid w:val="00643A36"/>
    <w:rsid w:val="00644505"/>
    <w:rsid w:val="00645B4F"/>
    <w:rsid w:val="006515B8"/>
    <w:rsid w:val="0065352F"/>
    <w:rsid w:val="00653799"/>
    <w:rsid w:val="006552D6"/>
    <w:rsid w:val="00656447"/>
    <w:rsid w:val="00657CEA"/>
    <w:rsid w:val="0066149B"/>
    <w:rsid w:val="00664DA8"/>
    <w:rsid w:val="00666384"/>
    <w:rsid w:val="00671C7F"/>
    <w:rsid w:val="006727C8"/>
    <w:rsid w:val="00672B11"/>
    <w:rsid w:val="006743C6"/>
    <w:rsid w:val="00675B8B"/>
    <w:rsid w:val="0067772C"/>
    <w:rsid w:val="00677A80"/>
    <w:rsid w:val="00680392"/>
    <w:rsid w:val="00684976"/>
    <w:rsid w:val="006867AE"/>
    <w:rsid w:val="00686A2E"/>
    <w:rsid w:val="0069192B"/>
    <w:rsid w:val="00691F4F"/>
    <w:rsid w:val="00697BF5"/>
    <w:rsid w:val="006A0901"/>
    <w:rsid w:val="006A123D"/>
    <w:rsid w:val="006A3F92"/>
    <w:rsid w:val="006A43DD"/>
    <w:rsid w:val="006A4A00"/>
    <w:rsid w:val="006A714A"/>
    <w:rsid w:val="006A7444"/>
    <w:rsid w:val="006B13D6"/>
    <w:rsid w:val="006B312C"/>
    <w:rsid w:val="006B3830"/>
    <w:rsid w:val="006B4E51"/>
    <w:rsid w:val="006B62C3"/>
    <w:rsid w:val="006B639B"/>
    <w:rsid w:val="006B75A1"/>
    <w:rsid w:val="006C3D1E"/>
    <w:rsid w:val="006C4E0E"/>
    <w:rsid w:val="006D227C"/>
    <w:rsid w:val="006D284F"/>
    <w:rsid w:val="006D2A05"/>
    <w:rsid w:val="006D2D44"/>
    <w:rsid w:val="006D5D41"/>
    <w:rsid w:val="006D69DD"/>
    <w:rsid w:val="006D6C71"/>
    <w:rsid w:val="006D71EF"/>
    <w:rsid w:val="006E0249"/>
    <w:rsid w:val="006E23DB"/>
    <w:rsid w:val="006E49F8"/>
    <w:rsid w:val="006E7673"/>
    <w:rsid w:val="006F2FC3"/>
    <w:rsid w:val="006F7B43"/>
    <w:rsid w:val="00700452"/>
    <w:rsid w:val="007037CC"/>
    <w:rsid w:val="00705B69"/>
    <w:rsid w:val="00706594"/>
    <w:rsid w:val="00711EC5"/>
    <w:rsid w:val="007126EF"/>
    <w:rsid w:val="0071369B"/>
    <w:rsid w:val="00716AFC"/>
    <w:rsid w:val="00717889"/>
    <w:rsid w:val="00717F55"/>
    <w:rsid w:val="00721D17"/>
    <w:rsid w:val="00724313"/>
    <w:rsid w:val="007245B6"/>
    <w:rsid w:val="007272D5"/>
    <w:rsid w:val="00733DBD"/>
    <w:rsid w:val="00740F08"/>
    <w:rsid w:val="007444E9"/>
    <w:rsid w:val="00744C1E"/>
    <w:rsid w:val="00745072"/>
    <w:rsid w:val="00747C24"/>
    <w:rsid w:val="00752D86"/>
    <w:rsid w:val="00752F99"/>
    <w:rsid w:val="007536D9"/>
    <w:rsid w:val="007539A5"/>
    <w:rsid w:val="00755B5B"/>
    <w:rsid w:val="00755C72"/>
    <w:rsid w:val="00756EBF"/>
    <w:rsid w:val="0076102E"/>
    <w:rsid w:val="007640E4"/>
    <w:rsid w:val="00766597"/>
    <w:rsid w:val="00767F95"/>
    <w:rsid w:val="0077393B"/>
    <w:rsid w:val="00774708"/>
    <w:rsid w:val="00776590"/>
    <w:rsid w:val="00782623"/>
    <w:rsid w:val="00793C67"/>
    <w:rsid w:val="00793D18"/>
    <w:rsid w:val="00796A0D"/>
    <w:rsid w:val="007A17E4"/>
    <w:rsid w:val="007A4911"/>
    <w:rsid w:val="007A4D98"/>
    <w:rsid w:val="007A5BBF"/>
    <w:rsid w:val="007A6169"/>
    <w:rsid w:val="007A76BA"/>
    <w:rsid w:val="007A79B5"/>
    <w:rsid w:val="007B0C07"/>
    <w:rsid w:val="007B23ED"/>
    <w:rsid w:val="007B3B9E"/>
    <w:rsid w:val="007B3ED8"/>
    <w:rsid w:val="007B7BD2"/>
    <w:rsid w:val="007C3395"/>
    <w:rsid w:val="007C39F6"/>
    <w:rsid w:val="007D0312"/>
    <w:rsid w:val="007D1C9B"/>
    <w:rsid w:val="007D334E"/>
    <w:rsid w:val="007D3535"/>
    <w:rsid w:val="007E173A"/>
    <w:rsid w:val="007E51D8"/>
    <w:rsid w:val="007E5A88"/>
    <w:rsid w:val="007E64FC"/>
    <w:rsid w:val="007F38C4"/>
    <w:rsid w:val="007F5B1C"/>
    <w:rsid w:val="008017FF"/>
    <w:rsid w:val="00803D9E"/>
    <w:rsid w:val="008072B5"/>
    <w:rsid w:val="00807365"/>
    <w:rsid w:val="008158DC"/>
    <w:rsid w:val="00821345"/>
    <w:rsid w:val="00822DAB"/>
    <w:rsid w:val="008240B8"/>
    <w:rsid w:val="00830D58"/>
    <w:rsid w:val="00831023"/>
    <w:rsid w:val="00834041"/>
    <w:rsid w:val="008340A9"/>
    <w:rsid w:val="00834F03"/>
    <w:rsid w:val="00835AC9"/>
    <w:rsid w:val="00837B0A"/>
    <w:rsid w:val="00843A02"/>
    <w:rsid w:val="008441E5"/>
    <w:rsid w:val="0084520C"/>
    <w:rsid w:val="008473DC"/>
    <w:rsid w:val="00852619"/>
    <w:rsid w:val="00852E3E"/>
    <w:rsid w:val="00855FD9"/>
    <w:rsid w:val="00857391"/>
    <w:rsid w:val="008573CA"/>
    <w:rsid w:val="00860583"/>
    <w:rsid w:val="008616B2"/>
    <w:rsid w:val="008635A9"/>
    <w:rsid w:val="00863A57"/>
    <w:rsid w:val="0086465B"/>
    <w:rsid w:val="0086687A"/>
    <w:rsid w:val="008677A9"/>
    <w:rsid w:val="008700BC"/>
    <w:rsid w:val="00872B13"/>
    <w:rsid w:val="00875A18"/>
    <w:rsid w:val="00881AEE"/>
    <w:rsid w:val="008830FA"/>
    <w:rsid w:val="0089173B"/>
    <w:rsid w:val="0089292B"/>
    <w:rsid w:val="008969A1"/>
    <w:rsid w:val="008A0379"/>
    <w:rsid w:val="008A0663"/>
    <w:rsid w:val="008A072B"/>
    <w:rsid w:val="008A1018"/>
    <w:rsid w:val="008A1DF5"/>
    <w:rsid w:val="008A218F"/>
    <w:rsid w:val="008A3B73"/>
    <w:rsid w:val="008A51DF"/>
    <w:rsid w:val="008A7ADA"/>
    <w:rsid w:val="008B0A3F"/>
    <w:rsid w:val="008B11A4"/>
    <w:rsid w:val="008B3CB6"/>
    <w:rsid w:val="008B50AB"/>
    <w:rsid w:val="008B6224"/>
    <w:rsid w:val="008C43E1"/>
    <w:rsid w:val="008C72FF"/>
    <w:rsid w:val="008C7757"/>
    <w:rsid w:val="008D00A5"/>
    <w:rsid w:val="008D3F0F"/>
    <w:rsid w:val="008D73E0"/>
    <w:rsid w:val="008E374A"/>
    <w:rsid w:val="008E3C82"/>
    <w:rsid w:val="008E50F4"/>
    <w:rsid w:val="008E5857"/>
    <w:rsid w:val="008F0171"/>
    <w:rsid w:val="008F1721"/>
    <w:rsid w:val="008F5592"/>
    <w:rsid w:val="008F7380"/>
    <w:rsid w:val="0090010C"/>
    <w:rsid w:val="00901903"/>
    <w:rsid w:val="00910508"/>
    <w:rsid w:val="009113B9"/>
    <w:rsid w:val="00914E57"/>
    <w:rsid w:val="00915890"/>
    <w:rsid w:val="00915BE1"/>
    <w:rsid w:val="00915E7A"/>
    <w:rsid w:val="00917796"/>
    <w:rsid w:val="0092134D"/>
    <w:rsid w:val="0092400E"/>
    <w:rsid w:val="009271B7"/>
    <w:rsid w:val="00941903"/>
    <w:rsid w:val="009429A0"/>
    <w:rsid w:val="0094598B"/>
    <w:rsid w:val="00947109"/>
    <w:rsid w:val="00950A18"/>
    <w:rsid w:val="00954D8D"/>
    <w:rsid w:val="00955D78"/>
    <w:rsid w:val="00956473"/>
    <w:rsid w:val="00956984"/>
    <w:rsid w:val="00956A7F"/>
    <w:rsid w:val="009604D7"/>
    <w:rsid w:val="009608E0"/>
    <w:rsid w:val="00960EF6"/>
    <w:rsid w:val="00961747"/>
    <w:rsid w:val="0096184C"/>
    <w:rsid w:val="00963E2E"/>
    <w:rsid w:val="009656F6"/>
    <w:rsid w:val="00966EF9"/>
    <w:rsid w:val="0096763F"/>
    <w:rsid w:val="00970951"/>
    <w:rsid w:val="00971D21"/>
    <w:rsid w:val="00980AA8"/>
    <w:rsid w:val="00981EDC"/>
    <w:rsid w:val="00982D63"/>
    <w:rsid w:val="00984FF1"/>
    <w:rsid w:val="0098740C"/>
    <w:rsid w:val="009919C9"/>
    <w:rsid w:val="0099277E"/>
    <w:rsid w:val="009A2809"/>
    <w:rsid w:val="009A348A"/>
    <w:rsid w:val="009A79B6"/>
    <w:rsid w:val="009B2367"/>
    <w:rsid w:val="009B2A94"/>
    <w:rsid w:val="009B3EC7"/>
    <w:rsid w:val="009B5B79"/>
    <w:rsid w:val="009C046A"/>
    <w:rsid w:val="009C2E47"/>
    <w:rsid w:val="009D1DB0"/>
    <w:rsid w:val="009D4C3D"/>
    <w:rsid w:val="009D4C7C"/>
    <w:rsid w:val="009D6AD5"/>
    <w:rsid w:val="009E2DB3"/>
    <w:rsid w:val="009E33DF"/>
    <w:rsid w:val="009E3509"/>
    <w:rsid w:val="009E40ED"/>
    <w:rsid w:val="009E58D3"/>
    <w:rsid w:val="009E6A02"/>
    <w:rsid w:val="009F17F0"/>
    <w:rsid w:val="00A00BA3"/>
    <w:rsid w:val="00A00DA8"/>
    <w:rsid w:val="00A011DF"/>
    <w:rsid w:val="00A02681"/>
    <w:rsid w:val="00A04CF0"/>
    <w:rsid w:val="00A0587C"/>
    <w:rsid w:val="00A10CA6"/>
    <w:rsid w:val="00A1234E"/>
    <w:rsid w:val="00A1237F"/>
    <w:rsid w:val="00A16B83"/>
    <w:rsid w:val="00A2218E"/>
    <w:rsid w:val="00A2665B"/>
    <w:rsid w:val="00A26CE7"/>
    <w:rsid w:val="00A272A4"/>
    <w:rsid w:val="00A27B18"/>
    <w:rsid w:val="00A306E2"/>
    <w:rsid w:val="00A334DC"/>
    <w:rsid w:val="00A33E37"/>
    <w:rsid w:val="00A34B6A"/>
    <w:rsid w:val="00A425C9"/>
    <w:rsid w:val="00A434C2"/>
    <w:rsid w:val="00A44865"/>
    <w:rsid w:val="00A5048F"/>
    <w:rsid w:val="00A50DE6"/>
    <w:rsid w:val="00A510A2"/>
    <w:rsid w:val="00A56043"/>
    <w:rsid w:val="00A6251B"/>
    <w:rsid w:val="00A64925"/>
    <w:rsid w:val="00A64D5D"/>
    <w:rsid w:val="00A65E06"/>
    <w:rsid w:val="00A754A2"/>
    <w:rsid w:val="00A77250"/>
    <w:rsid w:val="00A802FE"/>
    <w:rsid w:val="00A8610F"/>
    <w:rsid w:val="00A86625"/>
    <w:rsid w:val="00A867F6"/>
    <w:rsid w:val="00A8763E"/>
    <w:rsid w:val="00A87689"/>
    <w:rsid w:val="00A90854"/>
    <w:rsid w:val="00A94750"/>
    <w:rsid w:val="00A95AD3"/>
    <w:rsid w:val="00AA1073"/>
    <w:rsid w:val="00AA491B"/>
    <w:rsid w:val="00AA491E"/>
    <w:rsid w:val="00AB3536"/>
    <w:rsid w:val="00AC005A"/>
    <w:rsid w:val="00AC2755"/>
    <w:rsid w:val="00AC6919"/>
    <w:rsid w:val="00AC71DA"/>
    <w:rsid w:val="00AD001D"/>
    <w:rsid w:val="00AD1416"/>
    <w:rsid w:val="00AD162B"/>
    <w:rsid w:val="00AD1661"/>
    <w:rsid w:val="00AD2441"/>
    <w:rsid w:val="00AD6C2B"/>
    <w:rsid w:val="00AE3ED0"/>
    <w:rsid w:val="00AF4ED3"/>
    <w:rsid w:val="00AF51C0"/>
    <w:rsid w:val="00B00B5A"/>
    <w:rsid w:val="00B0501C"/>
    <w:rsid w:val="00B07131"/>
    <w:rsid w:val="00B24995"/>
    <w:rsid w:val="00B249E0"/>
    <w:rsid w:val="00B33BEB"/>
    <w:rsid w:val="00B34354"/>
    <w:rsid w:val="00B356C9"/>
    <w:rsid w:val="00B3597D"/>
    <w:rsid w:val="00B3651F"/>
    <w:rsid w:val="00B36807"/>
    <w:rsid w:val="00B40C0C"/>
    <w:rsid w:val="00B4266B"/>
    <w:rsid w:val="00B434BC"/>
    <w:rsid w:val="00B46A7C"/>
    <w:rsid w:val="00B516EE"/>
    <w:rsid w:val="00B53663"/>
    <w:rsid w:val="00B542A7"/>
    <w:rsid w:val="00B54A9C"/>
    <w:rsid w:val="00B618BC"/>
    <w:rsid w:val="00B62B45"/>
    <w:rsid w:val="00B67DED"/>
    <w:rsid w:val="00B73402"/>
    <w:rsid w:val="00B748E5"/>
    <w:rsid w:val="00B82BBC"/>
    <w:rsid w:val="00B83BFD"/>
    <w:rsid w:val="00B84300"/>
    <w:rsid w:val="00B86C5D"/>
    <w:rsid w:val="00B93362"/>
    <w:rsid w:val="00B93451"/>
    <w:rsid w:val="00B93994"/>
    <w:rsid w:val="00B96997"/>
    <w:rsid w:val="00BA2FB8"/>
    <w:rsid w:val="00BA4DE5"/>
    <w:rsid w:val="00BA4FE2"/>
    <w:rsid w:val="00BA6439"/>
    <w:rsid w:val="00BA6916"/>
    <w:rsid w:val="00BB14DC"/>
    <w:rsid w:val="00BB2084"/>
    <w:rsid w:val="00BB2760"/>
    <w:rsid w:val="00BB36EE"/>
    <w:rsid w:val="00BB399C"/>
    <w:rsid w:val="00BB42B7"/>
    <w:rsid w:val="00BB498D"/>
    <w:rsid w:val="00BB7220"/>
    <w:rsid w:val="00BC0702"/>
    <w:rsid w:val="00BC1E57"/>
    <w:rsid w:val="00BC2A38"/>
    <w:rsid w:val="00BC2FE4"/>
    <w:rsid w:val="00BD165C"/>
    <w:rsid w:val="00BD2562"/>
    <w:rsid w:val="00BE1EAE"/>
    <w:rsid w:val="00BE627B"/>
    <w:rsid w:val="00BE6F87"/>
    <w:rsid w:val="00BF0F07"/>
    <w:rsid w:val="00BF4D16"/>
    <w:rsid w:val="00BF4EB6"/>
    <w:rsid w:val="00BF709D"/>
    <w:rsid w:val="00C026AC"/>
    <w:rsid w:val="00C0355F"/>
    <w:rsid w:val="00C040D2"/>
    <w:rsid w:val="00C062CA"/>
    <w:rsid w:val="00C06DC5"/>
    <w:rsid w:val="00C157DD"/>
    <w:rsid w:val="00C17C9A"/>
    <w:rsid w:val="00C2160E"/>
    <w:rsid w:val="00C21988"/>
    <w:rsid w:val="00C21BE7"/>
    <w:rsid w:val="00C25872"/>
    <w:rsid w:val="00C25CA3"/>
    <w:rsid w:val="00C26F98"/>
    <w:rsid w:val="00C27068"/>
    <w:rsid w:val="00C304C1"/>
    <w:rsid w:val="00C30A02"/>
    <w:rsid w:val="00C33DAA"/>
    <w:rsid w:val="00C36464"/>
    <w:rsid w:val="00C37383"/>
    <w:rsid w:val="00C4048C"/>
    <w:rsid w:val="00C44665"/>
    <w:rsid w:val="00C456EB"/>
    <w:rsid w:val="00C4617A"/>
    <w:rsid w:val="00C46DAD"/>
    <w:rsid w:val="00C51BF6"/>
    <w:rsid w:val="00C52F8A"/>
    <w:rsid w:val="00C5423C"/>
    <w:rsid w:val="00C5703E"/>
    <w:rsid w:val="00C57EDC"/>
    <w:rsid w:val="00C6057A"/>
    <w:rsid w:val="00C615DB"/>
    <w:rsid w:val="00C650CD"/>
    <w:rsid w:val="00C670ED"/>
    <w:rsid w:val="00C675DC"/>
    <w:rsid w:val="00C67ABC"/>
    <w:rsid w:val="00C7337C"/>
    <w:rsid w:val="00C75C2E"/>
    <w:rsid w:val="00C772FA"/>
    <w:rsid w:val="00C86E52"/>
    <w:rsid w:val="00C86FE8"/>
    <w:rsid w:val="00C92C65"/>
    <w:rsid w:val="00C96D6F"/>
    <w:rsid w:val="00C97C97"/>
    <w:rsid w:val="00CA2511"/>
    <w:rsid w:val="00CA3B97"/>
    <w:rsid w:val="00CA6FF1"/>
    <w:rsid w:val="00CB2C08"/>
    <w:rsid w:val="00CB31F0"/>
    <w:rsid w:val="00CB5314"/>
    <w:rsid w:val="00CB7168"/>
    <w:rsid w:val="00CB7EAD"/>
    <w:rsid w:val="00CC63DE"/>
    <w:rsid w:val="00CC6916"/>
    <w:rsid w:val="00CC7B49"/>
    <w:rsid w:val="00CC7BF6"/>
    <w:rsid w:val="00CD0F37"/>
    <w:rsid w:val="00CD50D3"/>
    <w:rsid w:val="00CD6FF0"/>
    <w:rsid w:val="00CD7E6E"/>
    <w:rsid w:val="00CE026B"/>
    <w:rsid w:val="00CE0F39"/>
    <w:rsid w:val="00CE0F5E"/>
    <w:rsid w:val="00CE208B"/>
    <w:rsid w:val="00CE24E1"/>
    <w:rsid w:val="00CE30D5"/>
    <w:rsid w:val="00CE6A08"/>
    <w:rsid w:val="00CF17FA"/>
    <w:rsid w:val="00CF3280"/>
    <w:rsid w:val="00CF42BB"/>
    <w:rsid w:val="00CF6D71"/>
    <w:rsid w:val="00D00FDB"/>
    <w:rsid w:val="00D102DD"/>
    <w:rsid w:val="00D121DD"/>
    <w:rsid w:val="00D20E34"/>
    <w:rsid w:val="00D23DD4"/>
    <w:rsid w:val="00D25E79"/>
    <w:rsid w:val="00D26758"/>
    <w:rsid w:val="00D27362"/>
    <w:rsid w:val="00D27729"/>
    <w:rsid w:val="00D30998"/>
    <w:rsid w:val="00D30EDF"/>
    <w:rsid w:val="00D33655"/>
    <w:rsid w:val="00D33FB4"/>
    <w:rsid w:val="00D3667D"/>
    <w:rsid w:val="00D43D0B"/>
    <w:rsid w:val="00D452FD"/>
    <w:rsid w:val="00D46EE6"/>
    <w:rsid w:val="00D47DB3"/>
    <w:rsid w:val="00D5144A"/>
    <w:rsid w:val="00D52694"/>
    <w:rsid w:val="00D53074"/>
    <w:rsid w:val="00D633AB"/>
    <w:rsid w:val="00D63C2B"/>
    <w:rsid w:val="00D64421"/>
    <w:rsid w:val="00D66889"/>
    <w:rsid w:val="00D66DA5"/>
    <w:rsid w:val="00D67AC4"/>
    <w:rsid w:val="00D7014F"/>
    <w:rsid w:val="00D72E7F"/>
    <w:rsid w:val="00D73D6D"/>
    <w:rsid w:val="00D74922"/>
    <w:rsid w:val="00D752A7"/>
    <w:rsid w:val="00D7646B"/>
    <w:rsid w:val="00D76670"/>
    <w:rsid w:val="00D82AC2"/>
    <w:rsid w:val="00D83BE6"/>
    <w:rsid w:val="00D87EE4"/>
    <w:rsid w:val="00D90300"/>
    <w:rsid w:val="00D939CD"/>
    <w:rsid w:val="00D95351"/>
    <w:rsid w:val="00D95433"/>
    <w:rsid w:val="00D956F8"/>
    <w:rsid w:val="00D96ACA"/>
    <w:rsid w:val="00DA1A58"/>
    <w:rsid w:val="00DA2714"/>
    <w:rsid w:val="00DA2E45"/>
    <w:rsid w:val="00DA3610"/>
    <w:rsid w:val="00DB1446"/>
    <w:rsid w:val="00DB2562"/>
    <w:rsid w:val="00DB2821"/>
    <w:rsid w:val="00DB6096"/>
    <w:rsid w:val="00DC01E2"/>
    <w:rsid w:val="00DC3ADE"/>
    <w:rsid w:val="00DC624E"/>
    <w:rsid w:val="00DC7EC2"/>
    <w:rsid w:val="00DD001A"/>
    <w:rsid w:val="00DD02EB"/>
    <w:rsid w:val="00DD03EA"/>
    <w:rsid w:val="00DD1887"/>
    <w:rsid w:val="00DD205B"/>
    <w:rsid w:val="00DD3C21"/>
    <w:rsid w:val="00DD734C"/>
    <w:rsid w:val="00DD7C76"/>
    <w:rsid w:val="00DF0DD2"/>
    <w:rsid w:val="00DF21A8"/>
    <w:rsid w:val="00DF2A19"/>
    <w:rsid w:val="00DF30C1"/>
    <w:rsid w:val="00DF536F"/>
    <w:rsid w:val="00DF7857"/>
    <w:rsid w:val="00E01215"/>
    <w:rsid w:val="00E0318C"/>
    <w:rsid w:val="00E04A27"/>
    <w:rsid w:val="00E10966"/>
    <w:rsid w:val="00E11149"/>
    <w:rsid w:val="00E12320"/>
    <w:rsid w:val="00E13A9B"/>
    <w:rsid w:val="00E13D53"/>
    <w:rsid w:val="00E15E9F"/>
    <w:rsid w:val="00E16B41"/>
    <w:rsid w:val="00E214A2"/>
    <w:rsid w:val="00E2371D"/>
    <w:rsid w:val="00E24662"/>
    <w:rsid w:val="00E2531F"/>
    <w:rsid w:val="00E274B2"/>
    <w:rsid w:val="00E319B1"/>
    <w:rsid w:val="00E347BD"/>
    <w:rsid w:val="00E416D0"/>
    <w:rsid w:val="00E440E6"/>
    <w:rsid w:val="00E45A7E"/>
    <w:rsid w:val="00E46FED"/>
    <w:rsid w:val="00E512EC"/>
    <w:rsid w:val="00E53D6A"/>
    <w:rsid w:val="00E544C6"/>
    <w:rsid w:val="00E54ACF"/>
    <w:rsid w:val="00E64823"/>
    <w:rsid w:val="00E665C0"/>
    <w:rsid w:val="00E670B4"/>
    <w:rsid w:val="00E671CE"/>
    <w:rsid w:val="00E709F5"/>
    <w:rsid w:val="00E71209"/>
    <w:rsid w:val="00E727A1"/>
    <w:rsid w:val="00E731F5"/>
    <w:rsid w:val="00E769C1"/>
    <w:rsid w:val="00E77B1B"/>
    <w:rsid w:val="00E80A5E"/>
    <w:rsid w:val="00E80B6B"/>
    <w:rsid w:val="00E8200F"/>
    <w:rsid w:val="00E8390C"/>
    <w:rsid w:val="00E83993"/>
    <w:rsid w:val="00E915C7"/>
    <w:rsid w:val="00E92E51"/>
    <w:rsid w:val="00E94CEE"/>
    <w:rsid w:val="00E97B5C"/>
    <w:rsid w:val="00EA0ECD"/>
    <w:rsid w:val="00EA464D"/>
    <w:rsid w:val="00EB3093"/>
    <w:rsid w:val="00EC0EBF"/>
    <w:rsid w:val="00EC1C67"/>
    <w:rsid w:val="00EC2518"/>
    <w:rsid w:val="00ED2009"/>
    <w:rsid w:val="00ED5158"/>
    <w:rsid w:val="00EE3AC2"/>
    <w:rsid w:val="00EE4EFA"/>
    <w:rsid w:val="00EF6614"/>
    <w:rsid w:val="00F01178"/>
    <w:rsid w:val="00F05BD2"/>
    <w:rsid w:val="00F07151"/>
    <w:rsid w:val="00F07993"/>
    <w:rsid w:val="00F10B71"/>
    <w:rsid w:val="00F1409F"/>
    <w:rsid w:val="00F145E1"/>
    <w:rsid w:val="00F14891"/>
    <w:rsid w:val="00F164DA"/>
    <w:rsid w:val="00F20CA3"/>
    <w:rsid w:val="00F2155A"/>
    <w:rsid w:val="00F21C97"/>
    <w:rsid w:val="00F235C3"/>
    <w:rsid w:val="00F26625"/>
    <w:rsid w:val="00F274FC"/>
    <w:rsid w:val="00F306E4"/>
    <w:rsid w:val="00F32AD3"/>
    <w:rsid w:val="00F3493C"/>
    <w:rsid w:val="00F357AC"/>
    <w:rsid w:val="00F35C2C"/>
    <w:rsid w:val="00F36CDA"/>
    <w:rsid w:val="00F375F2"/>
    <w:rsid w:val="00F400CD"/>
    <w:rsid w:val="00F4188A"/>
    <w:rsid w:val="00F43A46"/>
    <w:rsid w:val="00F47005"/>
    <w:rsid w:val="00F47FFA"/>
    <w:rsid w:val="00F503A8"/>
    <w:rsid w:val="00F50EF3"/>
    <w:rsid w:val="00F53AD2"/>
    <w:rsid w:val="00F53EF0"/>
    <w:rsid w:val="00F5736D"/>
    <w:rsid w:val="00F633DB"/>
    <w:rsid w:val="00F63821"/>
    <w:rsid w:val="00F6739B"/>
    <w:rsid w:val="00F712B2"/>
    <w:rsid w:val="00F71C46"/>
    <w:rsid w:val="00F73898"/>
    <w:rsid w:val="00F73F84"/>
    <w:rsid w:val="00F75376"/>
    <w:rsid w:val="00F76007"/>
    <w:rsid w:val="00F7771E"/>
    <w:rsid w:val="00F77F0B"/>
    <w:rsid w:val="00F82968"/>
    <w:rsid w:val="00F829FA"/>
    <w:rsid w:val="00F865EA"/>
    <w:rsid w:val="00F86FD9"/>
    <w:rsid w:val="00F90377"/>
    <w:rsid w:val="00F90549"/>
    <w:rsid w:val="00F962F3"/>
    <w:rsid w:val="00FA16F4"/>
    <w:rsid w:val="00FA2CE7"/>
    <w:rsid w:val="00FA6B8A"/>
    <w:rsid w:val="00FB179E"/>
    <w:rsid w:val="00FB3185"/>
    <w:rsid w:val="00FB5DE6"/>
    <w:rsid w:val="00FC0942"/>
    <w:rsid w:val="00FC15EC"/>
    <w:rsid w:val="00FC368C"/>
    <w:rsid w:val="00FD0364"/>
    <w:rsid w:val="00FD4E8E"/>
    <w:rsid w:val="00FD7D28"/>
    <w:rsid w:val="00FE0071"/>
    <w:rsid w:val="00FE0B76"/>
    <w:rsid w:val="00FE4F24"/>
    <w:rsid w:val="00FF0221"/>
    <w:rsid w:val="00FF0E82"/>
    <w:rsid w:val="00FF157D"/>
    <w:rsid w:val="00FF1921"/>
    <w:rsid w:val="00FF37EC"/>
    <w:rsid w:val="00FF57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egoe UI Semibold" w:eastAsiaTheme="minorEastAsia" w:hAnsi="Segoe UI Semibold" w:cs="Tahoma"/>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ln">
    <w:name w:val="Normal"/>
    <w:qFormat/>
    <w:rsid w:val="004D7FEE"/>
    <w:pPr>
      <w:spacing w:before="80" w:after="120"/>
      <w:jc w:val="both"/>
    </w:pPr>
    <w:rPr>
      <w:rFonts w:asciiTheme="minorHAnsi" w:hAnsiTheme="minorHAnsi"/>
      <w:sz w:val="22"/>
    </w:rPr>
  </w:style>
  <w:style w:type="paragraph" w:styleId="Nadpis1">
    <w:name w:val="heading 1"/>
    <w:basedOn w:val="Normln"/>
    <w:next w:val="Normln"/>
    <w:link w:val="Nadpis1Char"/>
    <w:uiPriority w:val="9"/>
    <w:qFormat/>
    <w:rsid w:val="00B40C0C"/>
    <w:pPr>
      <w:keepNext/>
      <w:keepLines/>
      <w:numPr>
        <w:numId w:val="1"/>
      </w:numPr>
      <w:spacing w:before="480"/>
      <w:outlineLvl w:val="0"/>
    </w:pPr>
    <w:rPr>
      <w:rFonts w:ascii="Segoe UI Semibold" w:eastAsiaTheme="majorEastAsia" w:hAnsi="Segoe UI Semibold" w:cs="Segoe UI"/>
      <w:bCs/>
      <w:color w:val="093D93" w:themeColor="accent1"/>
      <w:sz w:val="32"/>
      <w:szCs w:val="28"/>
      <w:lang w:eastAsia="cs-CZ"/>
    </w:rPr>
  </w:style>
  <w:style w:type="paragraph" w:styleId="Nadpis2">
    <w:name w:val="heading 2"/>
    <w:basedOn w:val="Normln"/>
    <w:next w:val="Normln"/>
    <w:link w:val="Nadpis2Char"/>
    <w:unhideWhenUsed/>
    <w:qFormat/>
    <w:rsid w:val="00407719"/>
    <w:pPr>
      <w:keepNext/>
      <w:keepLines/>
      <w:numPr>
        <w:ilvl w:val="1"/>
        <w:numId w:val="1"/>
      </w:numPr>
      <w:autoSpaceDE w:val="0"/>
      <w:autoSpaceDN w:val="0"/>
      <w:adjustRightInd w:val="0"/>
      <w:spacing w:before="120"/>
      <w:ind w:left="567" w:hanging="567"/>
      <w:outlineLvl w:val="1"/>
    </w:pPr>
    <w:rPr>
      <w:rFonts w:ascii="Segoe UI Semibold" w:eastAsiaTheme="majorEastAsia" w:hAnsi="Segoe UI Semibold" w:cs="Segoe UI"/>
      <w:color w:val="093D93" w:themeColor="accent1"/>
      <w:sz w:val="28"/>
      <w:szCs w:val="28"/>
      <w:lang w:eastAsia="cs-CZ"/>
    </w:rPr>
  </w:style>
  <w:style w:type="paragraph" w:styleId="Nadpis3">
    <w:name w:val="heading 3"/>
    <w:basedOn w:val="Nadpis4"/>
    <w:next w:val="Normln"/>
    <w:link w:val="Nadpis3Char"/>
    <w:uiPriority w:val="9"/>
    <w:unhideWhenUsed/>
    <w:qFormat/>
    <w:rsid w:val="0030613E"/>
    <w:pPr>
      <w:numPr>
        <w:ilvl w:val="2"/>
      </w:numPr>
      <w:spacing w:before="200"/>
      <w:ind w:left="567" w:hanging="567"/>
      <w:outlineLvl w:val="2"/>
    </w:pPr>
  </w:style>
  <w:style w:type="paragraph" w:styleId="Nadpis4">
    <w:name w:val="heading 4"/>
    <w:basedOn w:val="Normln"/>
    <w:next w:val="Normln"/>
    <w:link w:val="Nadpis4Char"/>
    <w:uiPriority w:val="9"/>
    <w:unhideWhenUsed/>
    <w:qFormat/>
    <w:rsid w:val="00407719"/>
    <w:pPr>
      <w:keepNext/>
      <w:keepLines/>
      <w:numPr>
        <w:ilvl w:val="3"/>
        <w:numId w:val="1"/>
      </w:numPr>
      <w:autoSpaceDE w:val="0"/>
      <w:autoSpaceDN w:val="0"/>
      <w:adjustRightInd w:val="0"/>
      <w:spacing w:before="120"/>
      <w:ind w:left="851" w:hanging="851"/>
      <w:outlineLvl w:val="3"/>
    </w:pPr>
    <w:rPr>
      <w:rFonts w:ascii="Segoe UI Semibold" w:eastAsiaTheme="majorEastAsia" w:hAnsi="Segoe UI Semibold" w:cs="Arial"/>
      <w:color w:val="093D93" w:themeColor="accent1"/>
      <w:szCs w:val="22"/>
      <w:lang w:eastAsia="cs-CZ"/>
    </w:rPr>
  </w:style>
  <w:style w:type="paragraph" w:styleId="Nadpis5">
    <w:name w:val="heading 5"/>
    <w:basedOn w:val="Normln"/>
    <w:next w:val="Normln"/>
    <w:link w:val="Nadpis5Char"/>
    <w:uiPriority w:val="9"/>
    <w:semiHidden/>
    <w:unhideWhenUsed/>
    <w:rsid w:val="003906A2"/>
    <w:pPr>
      <w:keepNext/>
      <w:keepLines/>
      <w:spacing w:before="200" w:after="0"/>
      <w:outlineLvl w:val="4"/>
    </w:pPr>
    <w:rPr>
      <w:rFonts w:asciiTheme="majorHAnsi" w:eastAsiaTheme="majorEastAsia" w:hAnsiTheme="majorHAnsi" w:cstheme="majorBidi"/>
      <w:color w:val="041E49" w:themeColor="accent1" w:themeShade="7F"/>
    </w:rPr>
  </w:style>
  <w:style w:type="paragraph" w:styleId="Nadpis6">
    <w:name w:val="heading 6"/>
    <w:basedOn w:val="Normln"/>
    <w:next w:val="Normln"/>
    <w:link w:val="Nadpis6Char"/>
    <w:uiPriority w:val="9"/>
    <w:semiHidden/>
    <w:unhideWhenUsed/>
    <w:qFormat/>
    <w:rsid w:val="003906A2"/>
    <w:pPr>
      <w:keepNext/>
      <w:keepLines/>
      <w:spacing w:before="200" w:after="0"/>
      <w:outlineLvl w:val="5"/>
    </w:pPr>
    <w:rPr>
      <w:rFonts w:asciiTheme="majorHAnsi" w:eastAsiaTheme="majorEastAsia" w:hAnsiTheme="majorHAnsi" w:cstheme="majorBidi"/>
      <w:i/>
      <w:iCs/>
      <w:color w:val="041E49" w:themeColor="accent1" w:themeShade="7F"/>
    </w:rPr>
  </w:style>
  <w:style w:type="paragraph" w:styleId="Nadpis7">
    <w:name w:val="heading 7"/>
    <w:basedOn w:val="Normln"/>
    <w:next w:val="Normln"/>
    <w:link w:val="Nadpis7Char"/>
    <w:uiPriority w:val="9"/>
    <w:semiHidden/>
    <w:unhideWhenUsed/>
    <w:qFormat/>
    <w:rsid w:val="003906A2"/>
    <w:pPr>
      <w:keepNext/>
      <w:keepLines/>
      <w:spacing w:before="200" w:after="0"/>
      <w:outlineLvl w:val="6"/>
    </w:pPr>
    <w:rPr>
      <w:rFonts w:asciiTheme="majorHAnsi" w:eastAsiaTheme="majorEastAsia" w:hAnsiTheme="majorHAnsi" w:cstheme="majorBidi"/>
      <w:i/>
      <w:iCs/>
      <w:color w:val="484848" w:themeColor="text1" w:themeTint="BF"/>
    </w:rPr>
  </w:style>
  <w:style w:type="paragraph" w:styleId="Nadpis8">
    <w:name w:val="heading 8"/>
    <w:basedOn w:val="Normln"/>
    <w:next w:val="Normln"/>
    <w:link w:val="Nadpis8Char"/>
    <w:uiPriority w:val="9"/>
    <w:semiHidden/>
    <w:unhideWhenUsed/>
    <w:qFormat/>
    <w:rsid w:val="003906A2"/>
    <w:pPr>
      <w:keepNext/>
      <w:keepLines/>
      <w:spacing w:before="200" w:after="0"/>
      <w:outlineLvl w:val="7"/>
    </w:pPr>
    <w:rPr>
      <w:rFonts w:asciiTheme="majorHAnsi" w:eastAsiaTheme="majorEastAsia" w:hAnsiTheme="majorHAnsi" w:cstheme="majorBidi"/>
      <w:color w:val="093D93" w:themeColor="accent1"/>
    </w:rPr>
  </w:style>
  <w:style w:type="paragraph" w:styleId="Nadpis9">
    <w:name w:val="heading 9"/>
    <w:basedOn w:val="Normln"/>
    <w:next w:val="Normln"/>
    <w:link w:val="Nadpis9Char"/>
    <w:uiPriority w:val="9"/>
    <w:semiHidden/>
    <w:unhideWhenUsed/>
    <w:qFormat/>
    <w:rsid w:val="003906A2"/>
    <w:pPr>
      <w:keepNext/>
      <w:keepLines/>
      <w:spacing w:before="200" w:after="0"/>
      <w:outlineLvl w:val="8"/>
    </w:pPr>
    <w:rPr>
      <w:rFonts w:asciiTheme="majorHAnsi" w:eastAsiaTheme="majorEastAsia" w:hAnsiTheme="majorHAnsi" w:cstheme="majorBidi"/>
      <w:i/>
      <w:iCs/>
      <w:color w:val="484848"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40C0C"/>
    <w:rPr>
      <w:rFonts w:eastAsiaTheme="majorEastAsia" w:cs="Segoe UI"/>
      <w:bCs/>
      <w:color w:val="093D93" w:themeColor="accent1"/>
      <w:sz w:val="32"/>
      <w:szCs w:val="28"/>
      <w:lang w:eastAsia="cs-CZ"/>
    </w:rPr>
  </w:style>
  <w:style w:type="character" w:customStyle="1" w:styleId="Nadpis2Char">
    <w:name w:val="Nadpis 2 Char"/>
    <w:basedOn w:val="Standardnpsmoodstavce"/>
    <w:link w:val="Nadpis2"/>
    <w:rsid w:val="00B40C0C"/>
    <w:rPr>
      <w:rFonts w:eastAsiaTheme="majorEastAsia" w:cs="Segoe UI"/>
      <w:color w:val="093D93" w:themeColor="accent1"/>
      <w:sz w:val="28"/>
      <w:szCs w:val="28"/>
      <w:lang w:eastAsia="cs-CZ"/>
    </w:rPr>
  </w:style>
  <w:style w:type="character" w:customStyle="1" w:styleId="Nadpis4Char">
    <w:name w:val="Nadpis 4 Char"/>
    <w:basedOn w:val="Standardnpsmoodstavce"/>
    <w:link w:val="Nadpis4"/>
    <w:uiPriority w:val="9"/>
    <w:rsid w:val="00B40C0C"/>
    <w:rPr>
      <w:rFonts w:eastAsiaTheme="majorEastAsia" w:cs="Arial"/>
      <w:color w:val="093D93" w:themeColor="accent1"/>
      <w:sz w:val="22"/>
      <w:szCs w:val="22"/>
      <w:lang w:eastAsia="cs-CZ"/>
    </w:rPr>
  </w:style>
  <w:style w:type="character" w:customStyle="1" w:styleId="Nadpis3Char">
    <w:name w:val="Nadpis 3 Char"/>
    <w:basedOn w:val="Standardnpsmoodstavce"/>
    <w:link w:val="Nadpis3"/>
    <w:uiPriority w:val="9"/>
    <w:rsid w:val="0030613E"/>
    <w:rPr>
      <w:rFonts w:eastAsiaTheme="majorEastAsia" w:cs="Arial"/>
      <w:color w:val="093D93" w:themeColor="accent1"/>
      <w:sz w:val="22"/>
      <w:szCs w:val="22"/>
      <w:lang w:eastAsia="cs-CZ"/>
    </w:rPr>
  </w:style>
  <w:style w:type="character" w:customStyle="1" w:styleId="Nadpis5Char">
    <w:name w:val="Nadpis 5 Char"/>
    <w:basedOn w:val="Standardnpsmoodstavce"/>
    <w:link w:val="Nadpis5"/>
    <w:uiPriority w:val="9"/>
    <w:semiHidden/>
    <w:rsid w:val="003906A2"/>
    <w:rPr>
      <w:rFonts w:asciiTheme="majorHAnsi" w:eastAsiaTheme="majorEastAsia" w:hAnsiTheme="majorHAnsi" w:cstheme="majorBidi"/>
      <w:color w:val="041E49" w:themeColor="accent1" w:themeShade="7F"/>
    </w:rPr>
  </w:style>
  <w:style w:type="character" w:customStyle="1" w:styleId="Nadpis6Char">
    <w:name w:val="Nadpis 6 Char"/>
    <w:basedOn w:val="Standardnpsmoodstavce"/>
    <w:link w:val="Nadpis6"/>
    <w:uiPriority w:val="9"/>
    <w:semiHidden/>
    <w:rsid w:val="003906A2"/>
    <w:rPr>
      <w:rFonts w:asciiTheme="majorHAnsi" w:eastAsiaTheme="majorEastAsia" w:hAnsiTheme="majorHAnsi" w:cstheme="majorBidi"/>
      <w:i/>
      <w:iCs/>
      <w:color w:val="041E49" w:themeColor="accent1" w:themeShade="7F"/>
    </w:rPr>
  </w:style>
  <w:style w:type="character" w:customStyle="1" w:styleId="Nadpis7Char">
    <w:name w:val="Nadpis 7 Char"/>
    <w:basedOn w:val="Standardnpsmoodstavce"/>
    <w:link w:val="Nadpis7"/>
    <w:uiPriority w:val="9"/>
    <w:semiHidden/>
    <w:rsid w:val="003906A2"/>
    <w:rPr>
      <w:rFonts w:asciiTheme="majorHAnsi" w:eastAsiaTheme="majorEastAsia" w:hAnsiTheme="majorHAnsi" w:cstheme="majorBidi"/>
      <w:i/>
      <w:iCs/>
      <w:color w:val="484848" w:themeColor="text1" w:themeTint="BF"/>
    </w:rPr>
  </w:style>
  <w:style w:type="character" w:customStyle="1" w:styleId="Nadpis8Char">
    <w:name w:val="Nadpis 8 Char"/>
    <w:basedOn w:val="Standardnpsmoodstavce"/>
    <w:link w:val="Nadpis8"/>
    <w:uiPriority w:val="9"/>
    <w:semiHidden/>
    <w:rsid w:val="003906A2"/>
    <w:rPr>
      <w:rFonts w:asciiTheme="majorHAnsi" w:eastAsiaTheme="majorEastAsia" w:hAnsiTheme="majorHAnsi" w:cstheme="majorBidi"/>
      <w:color w:val="093D93" w:themeColor="accent1"/>
      <w:sz w:val="20"/>
      <w:szCs w:val="20"/>
    </w:rPr>
  </w:style>
  <w:style w:type="character" w:customStyle="1" w:styleId="Nadpis9Char">
    <w:name w:val="Nadpis 9 Char"/>
    <w:basedOn w:val="Standardnpsmoodstavce"/>
    <w:link w:val="Nadpis9"/>
    <w:uiPriority w:val="9"/>
    <w:semiHidden/>
    <w:rsid w:val="003906A2"/>
    <w:rPr>
      <w:rFonts w:asciiTheme="majorHAnsi" w:eastAsiaTheme="majorEastAsia" w:hAnsiTheme="majorHAnsi" w:cstheme="majorBidi"/>
      <w:i/>
      <w:iCs/>
      <w:color w:val="484848" w:themeColor="text1" w:themeTint="BF"/>
      <w:sz w:val="20"/>
      <w:szCs w:val="20"/>
    </w:rPr>
  </w:style>
  <w:style w:type="paragraph" w:styleId="Odstavecseseznamem">
    <w:name w:val="List Paragraph"/>
    <w:aliases w:val="Odstavec cíl se seznamem,Odstavec se seznamem1"/>
    <w:basedOn w:val="Normln"/>
    <w:link w:val="OdstavecseseznamemChar"/>
    <w:uiPriority w:val="34"/>
    <w:rsid w:val="003906A2"/>
    <w:pPr>
      <w:ind w:left="720"/>
      <w:contextualSpacing/>
    </w:pPr>
  </w:style>
  <w:style w:type="character" w:customStyle="1" w:styleId="OdstavecseseznamemChar">
    <w:name w:val="Odstavec se seznamem Char"/>
    <w:aliases w:val="Odstavec cíl se seznamem Char,Odstavec se seznamem1 Char"/>
    <w:basedOn w:val="Standardnpsmoodstavce"/>
    <w:link w:val="Odstavecseseznamem"/>
    <w:uiPriority w:val="34"/>
    <w:rsid w:val="00B00B5A"/>
  </w:style>
  <w:style w:type="table" w:styleId="Mkatabulky">
    <w:name w:val="Table Grid"/>
    <w:basedOn w:val="Normlntabulka"/>
    <w:uiPriority w:val="59"/>
    <w:rsid w:val="008C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AD2441"/>
    <w:pPr>
      <w:spacing w:before="60" w:after="360" w:line="240" w:lineRule="auto"/>
      <w:jc w:val="center"/>
    </w:pPr>
    <w:rPr>
      <w:rFonts w:asciiTheme="majorHAnsi" w:hAnsiTheme="majorHAnsi"/>
      <w:b/>
      <w:bCs/>
      <w:sz w:val="16"/>
    </w:rPr>
  </w:style>
  <w:style w:type="paragraph" w:styleId="Textpoznpodarou">
    <w:name w:val="footnote text"/>
    <w:basedOn w:val="Normln"/>
    <w:link w:val="TextpoznpodarouChar"/>
    <w:uiPriority w:val="99"/>
    <w:unhideWhenUsed/>
    <w:rsid w:val="00F26625"/>
    <w:rPr>
      <w:sz w:val="16"/>
    </w:rPr>
  </w:style>
  <w:style w:type="character" w:customStyle="1" w:styleId="TextpoznpodarouChar">
    <w:name w:val="Text pozn. pod čarou Char"/>
    <w:basedOn w:val="Standardnpsmoodstavce"/>
    <w:link w:val="Textpoznpodarou"/>
    <w:uiPriority w:val="99"/>
    <w:rsid w:val="00F26625"/>
    <w:rPr>
      <w:rFonts w:ascii="Arial" w:hAnsi="Arial"/>
      <w:sz w:val="16"/>
      <w:szCs w:val="20"/>
    </w:rPr>
  </w:style>
  <w:style w:type="character" w:styleId="Znakapoznpodarou">
    <w:name w:val="footnote reference"/>
    <w:basedOn w:val="Standardnpsmoodstavce"/>
    <w:uiPriority w:val="99"/>
    <w:semiHidden/>
    <w:unhideWhenUsed/>
    <w:rsid w:val="00F07151"/>
    <w:rPr>
      <w:vertAlign w:val="superscript"/>
    </w:rPr>
  </w:style>
  <w:style w:type="character" w:customStyle="1" w:styleId="Bulletslevel1Char">
    <w:name w:val="Bullets level 1 Char"/>
    <w:basedOn w:val="Standardnpsmoodstavce"/>
    <w:link w:val="Bulletslevel1"/>
    <w:locked/>
    <w:rsid w:val="009919C9"/>
    <w:rPr>
      <w:rFonts w:asciiTheme="minorHAnsi" w:hAnsiTheme="minorHAnsi" w:cs="Arial"/>
      <w:color w:val="000000"/>
      <w:sz w:val="19"/>
      <w:lang w:val="en-GB"/>
    </w:rPr>
  </w:style>
  <w:style w:type="paragraph" w:customStyle="1" w:styleId="Bulletslevel1">
    <w:name w:val="Bullets level 1"/>
    <w:basedOn w:val="Normln"/>
    <w:link w:val="Bulletslevel1Char"/>
    <w:rsid w:val="009919C9"/>
    <w:pPr>
      <w:numPr>
        <w:numId w:val="3"/>
      </w:numPr>
      <w:spacing w:before="120"/>
    </w:pPr>
    <w:rPr>
      <w:rFonts w:cs="Arial"/>
      <w:color w:val="000000"/>
      <w:sz w:val="19"/>
      <w:lang w:val="en-GB"/>
    </w:rPr>
  </w:style>
  <w:style w:type="paragraph" w:styleId="Textbubliny">
    <w:name w:val="Balloon Text"/>
    <w:basedOn w:val="Normln"/>
    <w:link w:val="TextbublinyChar"/>
    <w:uiPriority w:val="99"/>
    <w:semiHidden/>
    <w:unhideWhenUsed/>
    <w:rsid w:val="00300636"/>
    <w:pPr>
      <w:spacing w:after="0"/>
    </w:pPr>
    <w:rPr>
      <w:rFonts w:ascii="Tahoma" w:hAnsi="Tahoma"/>
      <w:sz w:val="16"/>
      <w:szCs w:val="16"/>
    </w:rPr>
  </w:style>
  <w:style w:type="character" w:customStyle="1" w:styleId="TextbublinyChar">
    <w:name w:val="Text bubliny Char"/>
    <w:basedOn w:val="Standardnpsmoodstavce"/>
    <w:link w:val="Textbubliny"/>
    <w:uiPriority w:val="99"/>
    <w:semiHidden/>
    <w:rsid w:val="00300636"/>
    <w:rPr>
      <w:rFonts w:ascii="Tahoma" w:hAnsi="Tahoma" w:cs="Tahoma"/>
      <w:sz w:val="16"/>
      <w:szCs w:val="16"/>
    </w:rPr>
  </w:style>
  <w:style w:type="paragraph" w:styleId="Zhlav">
    <w:name w:val="header"/>
    <w:basedOn w:val="Normln"/>
    <w:link w:val="ZhlavChar"/>
    <w:uiPriority w:val="99"/>
    <w:unhideWhenUsed/>
    <w:rsid w:val="00AD6C2B"/>
    <w:pPr>
      <w:tabs>
        <w:tab w:val="center" w:pos="4536"/>
        <w:tab w:val="right" w:pos="9072"/>
      </w:tabs>
      <w:spacing w:after="0"/>
    </w:pPr>
  </w:style>
  <w:style w:type="character" w:customStyle="1" w:styleId="ZhlavChar">
    <w:name w:val="Záhlaví Char"/>
    <w:basedOn w:val="Standardnpsmoodstavce"/>
    <w:link w:val="Zhlav"/>
    <w:uiPriority w:val="99"/>
    <w:rsid w:val="00AD6C2B"/>
    <w:rPr>
      <w:rFonts w:ascii="Arial" w:hAnsi="Arial"/>
      <w:sz w:val="20"/>
    </w:rPr>
  </w:style>
  <w:style w:type="paragraph" w:styleId="Zpat">
    <w:name w:val="footer"/>
    <w:basedOn w:val="Normln"/>
    <w:link w:val="ZpatChar"/>
    <w:uiPriority w:val="99"/>
    <w:unhideWhenUsed/>
    <w:rsid w:val="00AD6C2B"/>
    <w:pPr>
      <w:tabs>
        <w:tab w:val="center" w:pos="4536"/>
        <w:tab w:val="right" w:pos="9072"/>
      </w:tabs>
      <w:spacing w:after="0"/>
    </w:pPr>
  </w:style>
  <w:style w:type="character" w:customStyle="1" w:styleId="ZpatChar">
    <w:name w:val="Zápatí Char"/>
    <w:basedOn w:val="Standardnpsmoodstavce"/>
    <w:link w:val="Zpat"/>
    <w:uiPriority w:val="99"/>
    <w:rsid w:val="00AD6C2B"/>
    <w:rPr>
      <w:rFonts w:ascii="Arial" w:hAnsi="Arial"/>
      <w:sz w:val="20"/>
    </w:rPr>
  </w:style>
  <w:style w:type="character" w:styleId="Odkaznakoment">
    <w:name w:val="annotation reference"/>
    <w:basedOn w:val="Standardnpsmoodstavce"/>
    <w:uiPriority w:val="99"/>
    <w:semiHidden/>
    <w:unhideWhenUsed/>
    <w:rsid w:val="00640FA6"/>
    <w:rPr>
      <w:sz w:val="16"/>
      <w:szCs w:val="16"/>
    </w:rPr>
  </w:style>
  <w:style w:type="paragraph" w:styleId="Textkomente">
    <w:name w:val="annotation text"/>
    <w:basedOn w:val="Normln"/>
    <w:link w:val="TextkomenteChar"/>
    <w:uiPriority w:val="99"/>
    <w:semiHidden/>
    <w:unhideWhenUsed/>
    <w:rsid w:val="00640FA6"/>
  </w:style>
  <w:style w:type="character" w:customStyle="1" w:styleId="TextkomenteChar">
    <w:name w:val="Text komentáře Char"/>
    <w:basedOn w:val="Standardnpsmoodstavce"/>
    <w:link w:val="Textkomente"/>
    <w:uiPriority w:val="99"/>
    <w:semiHidden/>
    <w:rsid w:val="00640FA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40FA6"/>
    <w:rPr>
      <w:b/>
      <w:bCs/>
    </w:rPr>
  </w:style>
  <w:style w:type="character" w:customStyle="1" w:styleId="PedmtkomenteChar">
    <w:name w:val="Předmět komentáře Char"/>
    <w:basedOn w:val="TextkomenteChar"/>
    <w:link w:val="Pedmtkomente"/>
    <w:uiPriority w:val="99"/>
    <w:semiHidden/>
    <w:rsid w:val="00640FA6"/>
    <w:rPr>
      <w:rFonts w:ascii="Arial" w:hAnsi="Arial"/>
      <w:b/>
      <w:bCs/>
      <w:sz w:val="20"/>
      <w:szCs w:val="20"/>
    </w:rPr>
  </w:style>
  <w:style w:type="table" w:styleId="Svtlstnovnzvraznn1">
    <w:name w:val="Light Shading Accent 1"/>
    <w:basedOn w:val="Normlntabulka"/>
    <w:uiPriority w:val="60"/>
    <w:rsid w:val="00C96D6F"/>
    <w:pPr>
      <w:spacing w:after="0" w:line="240" w:lineRule="auto"/>
    </w:pPr>
    <w:rPr>
      <w:color w:val="062D6D" w:themeColor="accent1" w:themeShade="BF"/>
    </w:rPr>
    <w:tblPr>
      <w:tblStyleRowBandSize w:val="1"/>
      <w:tblStyleColBandSize w:val="1"/>
      <w:tblBorders>
        <w:top w:val="single" w:sz="8" w:space="0" w:color="093D93" w:themeColor="accent1"/>
        <w:bottom w:val="single" w:sz="8" w:space="0" w:color="093D93" w:themeColor="accent1"/>
      </w:tblBorders>
    </w:tblPr>
    <w:tblStylePr w:type="fir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la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C9FA" w:themeFill="accent1" w:themeFillTint="3F"/>
      </w:tcPr>
    </w:tblStylePr>
    <w:tblStylePr w:type="band1Horz">
      <w:tblPr/>
      <w:tcPr>
        <w:tcBorders>
          <w:left w:val="nil"/>
          <w:right w:val="nil"/>
          <w:insideH w:val="nil"/>
          <w:insideV w:val="nil"/>
        </w:tcBorders>
        <w:shd w:val="clear" w:color="auto" w:fill="ACC9FA" w:themeFill="accent1" w:themeFillTint="3F"/>
      </w:tcPr>
    </w:tblStylePr>
  </w:style>
  <w:style w:type="table" w:styleId="Svtlstnovn">
    <w:name w:val="Light Shading"/>
    <w:basedOn w:val="Normlntabulka"/>
    <w:uiPriority w:val="60"/>
    <w:rsid w:val="00C96D6F"/>
    <w:pPr>
      <w:spacing w:after="0" w:line="240" w:lineRule="auto"/>
    </w:pPr>
    <w:rPr>
      <w:color w:val="080808" w:themeColor="text1" w:themeShade="BF"/>
    </w:rPr>
    <w:tblPr>
      <w:tblStyleRowBandSize w:val="1"/>
      <w:tblStyleColBandSize w:val="1"/>
      <w:tblBorders>
        <w:top w:val="single" w:sz="8" w:space="0" w:color="0C0C0C" w:themeColor="text1"/>
        <w:bottom w:val="single" w:sz="8" w:space="0" w:color="0C0C0C" w:themeColor="text1"/>
      </w:tblBorders>
    </w:tblPr>
    <w:tblStylePr w:type="fir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la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2C2" w:themeFill="text1" w:themeFillTint="3F"/>
      </w:tcPr>
    </w:tblStylePr>
    <w:tblStylePr w:type="band1Horz">
      <w:tblPr/>
      <w:tcPr>
        <w:tcBorders>
          <w:left w:val="nil"/>
          <w:right w:val="nil"/>
          <w:insideH w:val="nil"/>
          <w:insideV w:val="nil"/>
        </w:tcBorders>
        <w:shd w:val="clear" w:color="auto" w:fill="C2C2C2" w:themeFill="text1" w:themeFillTint="3F"/>
      </w:tcPr>
    </w:tblStylePr>
  </w:style>
  <w:style w:type="table" w:styleId="Svtlseznamzvraznn1">
    <w:name w:val="Light List Accent 1"/>
    <w:basedOn w:val="Normlntabulka"/>
    <w:uiPriority w:val="61"/>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tblBorders>
    </w:tblPr>
    <w:tblStylePr w:type="firstRow">
      <w:pPr>
        <w:spacing w:before="0" w:after="0" w:line="240" w:lineRule="auto"/>
      </w:pPr>
      <w:rPr>
        <w:b/>
        <w:bCs/>
        <w:color w:val="FFFFFF" w:themeColor="background1"/>
      </w:rPr>
      <w:tblPr/>
      <w:tcPr>
        <w:shd w:val="clear" w:color="auto" w:fill="093D93" w:themeFill="accent1"/>
      </w:tcPr>
    </w:tblStylePr>
    <w:tblStylePr w:type="lastRow">
      <w:pPr>
        <w:spacing w:before="0" w:after="0" w:line="240" w:lineRule="auto"/>
      </w:pPr>
      <w:rPr>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tcBorders>
      </w:tcPr>
    </w:tblStylePr>
    <w:tblStylePr w:type="firstCol">
      <w:rPr>
        <w:b/>
        <w:bCs/>
      </w:rPr>
    </w:tblStylePr>
    <w:tblStylePr w:type="lastCol">
      <w:rPr>
        <w:b/>
        <w:bCs/>
      </w:r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style>
  <w:style w:type="table" w:styleId="Svtlmkazvraznn1">
    <w:name w:val="Light Grid Accent 1"/>
    <w:basedOn w:val="Normlntabulka"/>
    <w:uiPriority w:val="62"/>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insideH w:val="single" w:sz="8" w:space="0" w:color="093D93" w:themeColor="accent1"/>
        <w:insideV w:val="single" w:sz="8" w:space="0" w:color="093D9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18" w:space="0" w:color="093D93" w:themeColor="accent1"/>
          <w:right w:val="single" w:sz="8" w:space="0" w:color="093D93" w:themeColor="accent1"/>
          <w:insideH w:val="nil"/>
          <w:insideV w:val="single" w:sz="8" w:space="0" w:color="093D9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insideH w:val="nil"/>
          <w:insideV w:val="single" w:sz="8" w:space="0" w:color="093D9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shd w:val="clear" w:color="auto" w:fill="ACC9FA" w:themeFill="accent1" w:themeFillTint="3F"/>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shd w:val="clear" w:color="auto" w:fill="ACC9FA" w:themeFill="accent1" w:themeFillTint="3F"/>
      </w:tcPr>
    </w:tblStylePr>
    <w:tblStylePr w:type="band2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tcPr>
    </w:tblStylePr>
  </w:style>
  <w:style w:type="character" w:styleId="Nzevknihy">
    <w:name w:val="Book Title"/>
    <w:basedOn w:val="Standardnpsmoodstavce"/>
    <w:uiPriority w:val="33"/>
    <w:rsid w:val="003906A2"/>
    <w:rPr>
      <w:b/>
      <w:bCs/>
      <w:smallCaps/>
      <w:spacing w:val="5"/>
    </w:rPr>
  </w:style>
  <w:style w:type="paragraph" w:styleId="Nadpisobsahu">
    <w:name w:val="TOC Heading"/>
    <w:aliases w:val="Nadpis nečíslovaných kapitol"/>
    <w:basedOn w:val="Nadpis1"/>
    <w:next w:val="Normln"/>
    <w:uiPriority w:val="39"/>
    <w:unhideWhenUsed/>
    <w:qFormat/>
    <w:rsid w:val="008240B8"/>
    <w:pPr>
      <w:numPr>
        <w:numId w:val="0"/>
      </w:numPr>
      <w:outlineLvl w:val="9"/>
    </w:pPr>
    <w:rPr>
      <w:rFonts w:ascii="Segoe UI" w:hAnsi="Segoe UI"/>
    </w:rPr>
  </w:style>
  <w:style w:type="paragraph" w:styleId="Obsah1">
    <w:name w:val="toc 1"/>
    <w:basedOn w:val="Normln"/>
    <w:next w:val="Normln"/>
    <w:autoRedefine/>
    <w:uiPriority w:val="39"/>
    <w:unhideWhenUsed/>
    <w:rsid w:val="00407719"/>
    <w:pPr>
      <w:tabs>
        <w:tab w:val="left" w:pos="400"/>
        <w:tab w:val="right" w:leader="dot" w:pos="9072"/>
      </w:tabs>
      <w:spacing w:after="0" w:line="360" w:lineRule="auto"/>
    </w:pPr>
    <w:rPr>
      <w:noProof/>
    </w:rPr>
  </w:style>
  <w:style w:type="paragraph" w:styleId="Obsah2">
    <w:name w:val="toc 2"/>
    <w:basedOn w:val="Normln"/>
    <w:next w:val="Normln"/>
    <w:autoRedefine/>
    <w:uiPriority w:val="39"/>
    <w:unhideWhenUsed/>
    <w:rsid w:val="00407719"/>
    <w:pPr>
      <w:tabs>
        <w:tab w:val="left" w:pos="880"/>
        <w:tab w:val="right" w:leader="dot" w:pos="9063"/>
      </w:tabs>
      <w:spacing w:after="0" w:line="360" w:lineRule="auto"/>
      <w:ind w:left="198"/>
    </w:pPr>
  </w:style>
  <w:style w:type="paragraph" w:styleId="Obsah3">
    <w:name w:val="toc 3"/>
    <w:basedOn w:val="Normln"/>
    <w:next w:val="Normln"/>
    <w:autoRedefine/>
    <w:uiPriority w:val="39"/>
    <w:unhideWhenUsed/>
    <w:rsid w:val="00C97C97"/>
    <w:pPr>
      <w:tabs>
        <w:tab w:val="left" w:pos="1100"/>
        <w:tab w:val="right" w:leader="dot" w:pos="9063"/>
      </w:tabs>
      <w:spacing w:before="0" w:after="0" w:line="360" w:lineRule="auto"/>
      <w:ind w:left="403"/>
    </w:pPr>
  </w:style>
  <w:style w:type="character" w:styleId="Hypertextovodkaz">
    <w:name w:val="Hyperlink"/>
    <w:basedOn w:val="Standardnpsmoodstavce"/>
    <w:uiPriority w:val="99"/>
    <w:unhideWhenUsed/>
    <w:rsid w:val="00E769C1"/>
    <w:rPr>
      <w:color w:val="009DEA" w:themeColor="hyperlink"/>
      <w:u w:val="single"/>
    </w:rPr>
  </w:style>
  <w:style w:type="paragraph" w:styleId="Seznamobrzk">
    <w:name w:val="table of figures"/>
    <w:basedOn w:val="Normln"/>
    <w:next w:val="Normln"/>
    <w:uiPriority w:val="99"/>
    <w:unhideWhenUsed/>
    <w:rsid w:val="00E769C1"/>
    <w:pPr>
      <w:spacing w:after="0"/>
    </w:pPr>
  </w:style>
  <w:style w:type="table" w:styleId="Svtlseznamzvraznn2">
    <w:name w:val="Light List Accent 2"/>
    <w:basedOn w:val="Normlntabulka"/>
    <w:uiPriority w:val="61"/>
    <w:rsid w:val="005911C1"/>
    <w:pPr>
      <w:spacing w:after="0" w:line="240" w:lineRule="auto"/>
    </w:pPr>
    <w:tblPr>
      <w:tblStyleRowBandSize w:val="1"/>
      <w:tblStyleColBandSize w:val="1"/>
      <w:tblBorders>
        <w:top w:val="single" w:sz="8" w:space="0" w:color="2DB9FF" w:themeColor="accent2"/>
        <w:left w:val="single" w:sz="8" w:space="0" w:color="2DB9FF" w:themeColor="accent2"/>
        <w:bottom w:val="single" w:sz="8" w:space="0" w:color="2DB9FF" w:themeColor="accent2"/>
        <w:right w:val="single" w:sz="8" w:space="0" w:color="2DB9FF" w:themeColor="accent2"/>
      </w:tblBorders>
    </w:tblPr>
    <w:tblStylePr w:type="firstRow">
      <w:pPr>
        <w:spacing w:before="0" w:after="0" w:line="240" w:lineRule="auto"/>
      </w:pPr>
      <w:rPr>
        <w:b/>
        <w:bCs/>
        <w:color w:val="FFFFFF" w:themeColor="background1"/>
      </w:rPr>
      <w:tblPr/>
      <w:tcPr>
        <w:shd w:val="clear" w:color="auto" w:fill="2DB9FF" w:themeFill="accent2"/>
      </w:tcPr>
    </w:tblStylePr>
    <w:tblStylePr w:type="lastRow">
      <w:pPr>
        <w:spacing w:before="0" w:after="0" w:line="240" w:lineRule="auto"/>
      </w:pPr>
      <w:rPr>
        <w:b/>
        <w:bCs/>
      </w:rPr>
      <w:tblPr/>
      <w:tcPr>
        <w:tcBorders>
          <w:top w:val="double" w:sz="6" w:space="0" w:color="2DB9FF" w:themeColor="accent2"/>
          <w:left w:val="single" w:sz="8" w:space="0" w:color="2DB9FF" w:themeColor="accent2"/>
          <w:bottom w:val="single" w:sz="8" w:space="0" w:color="2DB9FF" w:themeColor="accent2"/>
          <w:right w:val="single" w:sz="8" w:space="0" w:color="2DB9FF" w:themeColor="accent2"/>
        </w:tcBorders>
      </w:tcPr>
    </w:tblStylePr>
    <w:tblStylePr w:type="firstCol">
      <w:rPr>
        <w:b/>
        <w:bCs/>
      </w:rPr>
    </w:tblStylePr>
    <w:tblStylePr w:type="lastCol">
      <w:rPr>
        <w:b/>
        <w:bCs/>
      </w:rPr>
    </w:tblStylePr>
    <w:tblStylePr w:type="band1Vert">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tblStylePr w:type="band1Horz">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style>
  <w:style w:type="table" w:styleId="Svtlstnovnzvraznn2">
    <w:name w:val="Light Shading Accent 2"/>
    <w:basedOn w:val="Normlntabulka"/>
    <w:uiPriority w:val="60"/>
    <w:rsid w:val="00CB7EAD"/>
    <w:pPr>
      <w:spacing w:after="0" w:line="240" w:lineRule="auto"/>
    </w:pPr>
    <w:rPr>
      <w:color w:val="0095E0" w:themeColor="accent2" w:themeShade="BF"/>
    </w:rPr>
    <w:tblPr>
      <w:tblStyleRowBandSize w:val="1"/>
      <w:tblStyleColBandSize w:val="1"/>
      <w:tblBorders>
        <w:top w:val="single" w:sz="8" w:space="0" w:color="2DB9FF" w:themeColor="accent2"/>
        <w:bottom w:val="single" w:sz="8" w:space="0" w:color="2DB9FF" w:themeColor="accent2"/>
      </w:tblBorders>
    </w:tblPr>
    <w:tblStylePr w:type="fir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la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DFF" w:themeFill="accent2" w:themeFillTint="3F"/>
      </w:tcPr>
    </w:tblStylePr>
    <w:tblStylePr w:type="band1Horz">
      <w:tblPr/>
      <w:tcPr>
        <w:tcBorders>
          <w:left w:val="nil"/>
          <w:right w:val="nil"/>
          <w:insideH w:val="nil"/>
          <w:insideV w:val="nil"/>
        </w:tcBorders>
        <w:shd w:val="clear" w:color="auto" w:fill="CBEDFF" w:themeFill="accent2" w:themeFillTint="3F"/>
      </w:tcPr>
    </w:tblStylePr>
  </w:style>
  <w:style w:type="paragraph" w:styleId="Nzev">
    <w:name w:val="Title"/>
    <w:basedOn w:val="Normln"/>
    <w:next w:val="Normln"/>
    <w:link w:val="NzevChar"/>
    <w:uiPriority w:val="10"/>
    <w:qFormat/>
    <w:rsid w:val="00407719"/>
    <w:pPr>
      <w:keepNext/>
      <w:keepLines/>
      <w:autoSpaceDE w:val="0"/>
      <w:autoSpaceDN w:val="0"/>
      <w:adjustRightInd w:val="0"/>
      <w:spacing w:before="8880" w:after="240"/>
    </w:pPr>
    <w:rPr>
      <w:rFonts w:ascii="Segoe UI Semibold" w:eastAsiaTheme="majorEastAsia" w:hAnsi="Segoe UI Semibold" w:cs="Arial"/>
      <w:color w:val="002060"/>
      <w:sz w:val="36"/>
      <w:szCs w:val="24"/>
      <w:lang w:eastAsia="cs-CZ"/>
    </w:rPr>
  </w:style>
  <w:style w:type="character" w:customStyle="1" w:styleId="NzevChar">
    <w:name w:val="Název Char"/>
    <w:basedOn w:val="Standardnpsmoodstavce"/>
    <w:link w:val="Nzev"/>
    <w:uiPriority w:val="10"/>
    <w:rsid w:val="00447DCF"/>
    <w:rPr>
      <w:rFonts w:eastAsiaTheme="majorEastAsia" w:cs="Arial"/>
      <w:color w:val="002060"/>
      <w:sz w:val="36"/>
      <w:szCs w:val="24"/>
      <w:lang w:eastAsia="cs-CZ"/>
    </w:rPr>
  </w:style>
  <w:style w:type="paragraph" w:styleId="Podtitul">
    <w:name w:val="Subtitle"/>
    <w:basedOn w:val="Nadpisobsahu"/>
    <w:next w:val="Normln"/>
    <w:link w:val="PodtitulChar"/>
    <w:uiPriority w:val="11"/>
    <w:qFormat/>
    <w:rsid w:val="008700BC"/>
  </w:style>
  <w:style w:type="character" w:customStyle="1" w:styleId="PodtitulChar">
    <w:name w:val="Podtitul Char"/>
    <w:basedOn w:val="Standardnpsmoodstavce"/>
    <w:link w:val="Podtitul"/>
    <w:uiPriority w:val="11"/>
    <w:rsid w:val="008700BC"/>
    <w:rPr>
      <w:rFonts w:ascii="Segoe UI" w:eastAsiaTheme="majorEastAsia" w:hAnsi="Segoe UI" w:cs="Segoe UI"/>
      <w:bCs/>
      <w:color w:val="093D93" w:themeColor="accent1"/>
      <w:sz w:val="32"/>
      <w:szCs w:val="28"/>
      <w:lang w:eastAsia="cs-CZ"/>
    </w:rPr>
  </w:style>
  <w:style w:type="character" w:styleId="Siln">
    <w:name w:val="Strong"/>
    <w:basedOn w:val="Standardnpsmoodstavce"/>
    <w:uiPriority w:val="22"/>
    <w:rsid w:val="003906A2"/>
    <w:rPr>
      <w:b/>
      <w:bCs/>
    </w:rPr>
  </w:style>
  <w:style w:type="character" w:styleId="Zvraznn">
    <w:name w:val="Emphasis"/>
    <w:basedOn w:val="Standardnpsmoodstavce"/>
    <w:uiPriority w:val="20"/>
    <w:rsid w:val="003906A2"/>
    <w:rPr>
      <w:i/>
      <w:iCs/>
    </w:rPr>
  </w:style>
  <w:style w:type="paragraph" w:styleId="Bezmezer">
    <w:name w:val="No Spacing"/>
    <w:link w:val="BezmezerChar"/>
    <w:uiPriority w:val="1"/>
    <w:rsid w:val="003906A2"/>
    <w:pPr>
      <w:spacing w:after="0" w:line="240" w:lineRule="auto"/>
    </w:pPr>
  </w:style>
  <w:style w:type="character" w:customStyle="1" w:styleId="BezmezerChar">
    <w:name w:val="Bez mezer Char"/>
    <w:basedOn w:val="Standardnpsmoodstavce"/>
    <w:link w:val="Bezmezer"/>
    <w:uiPriority w:val="1"/>
    <w:rsid w:val="003906A2"/>
  </w:style>
  <w:style w:type="paragraph" w:styleId="Citt">
    <w:name w:val="Quote"/>
    <w:basedOn w:val="Normln"/>
    <w:next w:val="Normln"/>
    <w:link w:val="CittChar"/>
    <w:uiPriority w:val="29"/>
    <w:rsid w:val="003906A2"/>
    <w:rPr>
      <w:i/>
      <w:iCs/>
      <w:color w:val="0C0C0C" w:themeColor="text1"/>
    </w:rPr>
  </w:style>
  <w:style w:type="character" w:customStyle="1" w:styleId="CittChar">
    <w:name w:val="Citát Char"/>
    <w:basedOn w:val="Standardnpsmoodstavce"/>
    <w:link w:val="Citt"/>
    <w:uiPriority w:val="29"/>
    <w:rsid w:val="003906A2"/>
    <w:rPr>
      <w:i/>
      <w:iCs/>
      <w:color w:val="0C0C0C" w:themeColor="text1"/>
    </w:rPr>
  </w:style>
  <w:style w:type="paragraph" w:styleId="Vrazncitt">
    <w:name w:val="Intense Quote"/>
    <w:basedOn w:val="Normln"/>
    <w:next w:val="Normln"/>
    <w:link w:val="VrazncittChar"/>
    <w:uiPriority w:val="30"/>
    <w:rsid w:val="003906A2"/>
    <w:pPr>
      <w:pBdr>
        <w:bottom w:val="single" w:sz="4" w:space="4" w:color="093D93" w:themeColor="accent1"/>
      </w:pBdr>
      <w:spacing w:before="200" w:after="280"/>
      <w:ind w:left="936" w:right="936"/>
    </w:pPr>
    <w:rPr>
      <w:b/>
      <w:bCs/>
      <w:i/>
      <w:iCs/>
      <w:color w:val="093D93" w:themeColor="accent1"/>
    </w:rPr>
  </w:style>
  <w:style w:type="character" w:customStyle="1" w:styleId="VrazncittChar">
    <w:name w:val="Výrazný citát Char"/>
    <w:basedOn w:val="Standardnpsmoodstavce"/>
    <w:link w:val="Vrazncitt"/>
    <w:uiPriority w:val="30"/>
    <w:rsid w:val="003906A2"/>
    <w:rPr>
      <w:b/>
      <w:bCs/>
      <w:i/>
      <w:iCs/>
      <w:color w:val="093D93" w:themeColor="accent1"/>
    </w:rPr>
  </w:style>
  <w:style w:type="character" w:styleId="Zdraznnjemn">
    <w:name w:val="Subtle Emphasis"/>
    <w:basedOn w:val="Standardnpsmoodstavce"/>
    <w:uiPriority w:val="19"/>
    <w:rsid w:val="003906A2"/>
    <w:rPr>
      <w:i/>
      <w:iCs/>
      <w:color w:val="858585" w:themeColor="text1" w:themeTint="7F"/>
    </w:rPr>
  </w:style>
  <w:style w:type="character" w:styleId="Zdraznnintenzivn">
    <w:name w:val="Intense Emphasis"/>
    <w:basedOn w:val="Standardnpsmoodstavce"/>
    <w:uiPriority w:val="21"/>
    <w:rsid w:val="003906A2"/>
    <w:rPr>
      <w:b/>
      <w:bCs/>
      <w:i/>
      <w:iCs/>
      <w:color w:val="093D93" w:themeColor="accent1"/>
    </w:rPr>
  </w:style>
  <w:style w:type="character" w:styleId="Odkazjemn">
    <w:name w:val="Subtle Reference"/>
    <w:basedOn w:val="Standardnpsmoodstavce"/>
    <w:uiPriority w:val="31"/>
    <w:rsid w:val="003906A2"/>
    <w:rPr>
      <w:smallCaps/>
      <w:color w:val="2DB9FF" w:themeColor="accent2"/>
      <w:u w:val="single"/>
    </w:rPr>
  </w:style>
  <w:style w:type="character" w:styleId="Odkazintenzivn">
    <w:name w:val="Intense Reference"/>
    <w:aliases w:val="Odkaz"/>
    <w:basedOn w:val="Standardnpsmoodstavce"/>
    <w:uiPriority w:val="32"/>
    <w:qFormat/>
    <w:rsid w:val="008700BC"/>
    <w:rPr>
      <w:b w:val="0"/>
      <w:bCs/>
      <w:smallCaps/>
      <w:color w:val="2DB9FF" w:themeColor="accent2"/>
      <w:spacing w:val="5"/>
      <w:u w:val="single"/>
    </w:rPr>
  </w:style>
  <w:style w:type="table" w:styleId="Barevnseznamzvraznn2">
    <w:name w:val="Colorful List Accent 2"/>
    <w:basedOn w:val="Normlntabulka"/>
    <w:uiPriority w:val="72"/>
    <w:rsid w:val="003906A2"/>
    <w:pPr>
      <w:spacing w:after="0" w:line="240" w:lineRule="auto"/>
    </w:pPr>
    <w:rPr>
      <w:color w:val="0C0C0C" w:themeColor="text1"/>
    </w:rPr>
    <w:tblPr>
      <w:tblStyleRowBandSize w:val="1"/>
      <w:tblStyleColBandSize w:val="1"/>
    </w:tblPr>
    <w:tcPr>
      <w:shd w:val="clear" w:color="auto" w:fill="EAF8FF" w:themeFill="accent2"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DFF" w:themeFill="accent2" w:themeFillTint="3F"/>
      </w:tcPr>
    </w:tblStylePr>
    <w:tblStylePr w:type="band1Horz">
      <w:tblPr/>
      <w:tcPr>
        <w:shd w:val="clear" w:color="auto" w:fill="D5F1FF" w:themeFill="accent2" w:themeFillTint="33"/>
      </w:tcPr>
    </w:tblStylePr>
  </w:style>
  <w:style w:type="table" w:styleId="Barevnseznam">
    <w:name w:val="Colorful List"/>
    <w:basedOn w:val="Normlntabulka"/>
    <w:uiPriority w:val="72"/>
    <w:rsid w:val="003906A2"/>
    <w:pPr>
      <w:spacing w:after="0" w:line="240" w:lineRule="auto"/>
    </w:pPr>
    <w:rPr>
      <w:color w:val="0C0C0C" w:themeColor="text1"/>
    </w:rPr>
    <w:tblPr>
      <w:tblStyleRowBandSize w:val="1"/>
      <w:tblStyleColBandSize w:val="1"/>
    </w:tblPr>
    <w:tcPr>
      <w:shd w:val="clear" w:color="auto" w:fill="E7E7E7" w:themeFill="text1"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2C2" w:themeFill="text1" w:themeFillTint="3F"/>
      </w:tcPr>
    </w:tblStylePr>
    <w:tblStylePr w:type="band1Horz">
      <w:tblPr/>
      <w:tcPr>
        <w:shd w:val="clear" w:color="auto" w:fill="CECECE" w:themeFill="text1" w:themeFillTint="33"/>
      </w:tcPr>
    </w:tblStylePr>
  </w:style>
  <w:style w:type="paragraph" w:customStyle="1" w:styleId="Tabulka">
    <w:name w:val="Tabulka"/>
    <w:basedOn w:val="Normln"/>
    <w:qFormat/>
    <w:rsid w:val="009D4C3D"/>
    <w:pPr>
      <w:keepLines/>
      <w:spacing w:before="100" w:beforeAutospacing="1" w:after="100" w:afterAutospacing="1" w:line="240" w:lineRule="auto"/>
      <w:ind w:left="113" w:right="113"/>
      <w:jc w:val="left"/>
    </w:pPr>
    <w:rPr>
      <w:rFonts w:eastAsia="Times New Roman"/>
      <w:sz w:val="16"/>
      <w:szCs w:val="16"/>
      <w:lang w:val="en-US" w:eastAsia="cs-CZ"/>
    </w:rPr>
  </w:style>
  <w:style w:type="paragraph" w:customStyle="1" w:styleId="Tituleksrou">
    <w:name w:val="Titulek s čárou"/>
    <w:basedOn w:val="Titulek"/>
    <w:qFormat/>
    <w:rsid w:val="004840A9"/>
    <w:pPr>
      <w:keepNext/>
      <w:pBdr>
        <w:top w:val="single" w:sz="24" w:space="1" w:color="E6E6E6" w:themeColor="text1" w:themeTint="1A"/>
      </w:pBdr>
    </w:pPr>
    <w:rPr>
      <w:sz w:val="20"/>
    </w:rPr>
  </w:style>
  <w:style w:type="paragraph" w:customStyle="1" w:styleId="Dleitodstavec">
    <w:name w:val="Důležitý odstavec"/>
    <w:basedOn w:val="Normln"/>
    <w:rsid w:val="00FF0221"/>
    <w:pPr>
      <w:spacing w:after="0" w:line="240" w:lineRule="auto"/>
    </w:pPr>
  </w:style>
  <w:style w:type="table" w:styleId="Barevnseznamzvraznn4">
    <w:name w:val="Colorful List Accent 4"/>
    <w:basedOn w:val="Normlntabulka"/>
    <w:uiPriority w:val="72"/>
    <w:rsid w:val="00FF0221"/>
    <w:pPr>
      <w:spacing w:after="0" w:line="240" w:lineRule="auto"/>
    </w:pPr>
    <w:rPr>
      <w:color w:val="0C0C0C" w:themeColor="text1"/>
    </w:rPr>
    <w:tblPr>
      <w:tblStyleRowBandSize w:val="1"/>
      <w:tblStyleColBandSize w:val="1"/>
    </w:tblPr>
    <w:tcPr>
      <w:shd w:val="clear" w:color="auto" w:fill="FFF3EB" w:themeFill="accent4" w:themeFillTint="19"/>
    </w:tcPr>
    <w:tblStylePr w:type="firstRow">
      <w:rPr>
        <w:b/>
        <w:bCs/>
        <w:color w:val="FFFFFF" w:themeColor="background1"/>
      </w:rPr>
      <w:tblPr/>
      <w:tcPr>
        <w:tcBorders>
          <w:bottom w:val="single" w:sz="12" w:space="0" w:color="FFFFFF" w:themeColor="background1"/>
        </w:tcBorders>
        <w:shd w:val="clear" w:color="auto" w:fill="FEEB00" w:themeFill="accent3" w:themeFillShade="CC"/>
      </w:tcPr>
    </w:tblStylePr>
    <w:tblStylePr w:type="lastRow">
      <w:rPr>
        <w:b/>
        <w:bCs/>
        <w:color w:val="FEEB00" w:themeColor="accent3"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3CE" w:themeFill="accent4" w:themeFillTint="3F"/>
      </w:tcPr>
    </w:tblStylePr>
    <w:tblStylePr w:type="band1Horz">
      <w:tblPr/>
      <w:tcPr>
        <w:shd w:val="clear" w:color="auto" w:fill="FEE8D7" w:themeFill="accent4" w:themeFillTint="33"/>
      </w:tcPr>
    </w:tblStylePr>
  </w:style>
  <w:style w:type="table" w:customStyle="1" w:styleId="Dleitinformace">
    <w:name w:val="Důležitá informace"/>
    <w:basedOn w:val="Normlntabulka"/>
    <w:uiPriority w:val="99"/>
    <w:rsid w:val="00F47005"/>
    <w:pPr>
      <w:spacing w:before="60" w:after="60" w:line="240" w:lineRule="auto"/>
      <w:ind w:left="170" w:right="170"/>
    </w:pPr>
    <w:rPr>
      <w:rFonts w:ascii="Arial" w:hAnsi="Arial"/>
    </w:rPr>
    <w:tblPr>
      <w:tblBorders>
        <w:left w:val="single" w:sz="24" w:space="0" w:color="2DB9FF" w:themeColor="accent2"/>
      </w:tblBorders>
      <w:tblCellMar>
        <w:top w:w="113" w:type="dxa"/>
        <w:bottom w:w="113" w:type="dxa"/>
      </w:tblCellMar>
    </w:tblPr>
    <w:tcPr>
      <w:shd w:val="clear" w:color="auto" w:fill="F2F2F2" w:themeFill="background1" w:themeFillShade="F2"/>
    </w:tcPr>
  </w:style>
  <w:style w:type="table" w:customStyle="1" w:styleId="Tabulka47">
    <w:name w:val="Tabulka 47"/>
    <w:basedOn w:val="Normlntabulka"/>
    <w:uiPriority w:val="99"/>
    <w:rsid w:val="00027596"/>
    <w:pPr>
      <w:spacing w:before="100" w:beforeAutospacing="1" w:after="100" w:afterAutospacing="1" w:line="240" w:lineRule="auto"/>
      <w:ind w:left="57" w:right="57"/>
    </w:pPr>
    <w:rPr>
      <w:rFonts w:asciiTheme="minorHAnsi" w:hAnsiTheme="minorHAnsi"/>
      <w:sz w:val="16"/>
    </w:rPr>
    <w:tblPr>
      <w:tblStyleRowBandSize w:val="1"/>
      <w:tblStyleColBandSize w:val="1"/>
      <w:tblBorders>
        <w:bottom w:val="single" w:sz="24" w:space="0" w:color="2DB9FF" w:themeColor="accent2"/>
      </w:tblBorders>
    </w:tblPr>
    <w:tcPr>
      <w:vAlign w:val="center"/>
    </w:tcPr>
    <w:tblStylePr w:type="firstRow">
      <w:pPr>
        <w:wordWrap/>
        <w:spacing w:beforeLines="0" w:before="120" w:beforeAutospacing="0" w:afterLines="0" w:after="180" w:afterAutospacing="0"/>
        <w:contextualSpacing/>
        <w:mirrorIndents w:val="0"/>
        <w:jc w:val="left"/>
      </w:pPr>
      <w:rPr>
        <w:b/>
        <w:color w:val="FFFFFF" w:themeColor="background1"/>
        <w:sz w:val="16"/>
      </w:rPr>
      <w:tblPr/>
      <w:tcPr>
        <w:tcBorders>
          <w:top w:val="nil"/>
          <w:left w:val="nil"/>
          <w:bottom w:val="nil"/>
          <w:right w:val="nil"/>
          <w:insideH w:val="nil"/>
          <w:insideV w:val="nil"/>
          <w:tl2br w:val="nil"/>
          <w:tr2bl w:val="nil"/>
        </w:tcBorders>
        <w:shd w:val="clear" w:color="auto" w:fill="2DB9FF" w:themeFill="accent2"/>
      </w:tcPr>
    </w:tblStylePr>
    <w:tblStylePr w:type="lastRow">
      <w:rPr>
        <w:b/>
      </w:rPr>
      <w:tblPr/>
      <w:tcPr>
        <w:tcBorders>
          <w:top w:val="single" w:sz="24" w:space="0" w:color="2DB9FF" w:themeColor="accent2"/>
          <w:left w:val="nil"/>
          <w:bottom w:val="single" w:sz="24" w:space="0" w:color="2DB9FF" w:themeColor="accent2"/>
          <w:right w:val="nil"/>
          <w:insideH w:val="nil"/>
          <w:insideV w:val="nil"/>
          <w:tl2br w:val="nil"/>
          <w:tr2bl w:val="nil"/>
        </w:tcBorders>
        <w:shd w:val="clear" w:color="auto" w:fill="D5F1FF" w:themeFill="accent2" w:themeFillTint="33"/>
      </w:tcPr>
    </w:tblStylePr>
    <w:tblStylePr w:type="firstCol">
      <w:rPr>
        <w:b/>
        <w:color w:val="0C0C0C" w:themeColor="text1"/>
      </w:rPr>
      <w:tblPr/>
      <w:tcPr>
        <w:tcBorders>
          <w:right w:val="single" w:sz="8" w:space="0" w:color="DDDDDD" w:themeColor="text2" w:themeTint="33"/>
        </w:tcBorders>
        <w:shd w:val="clear" w:color="auto" w:fill="D5F1FF" w:themeFill="accent2" w:themeFillTint="33"/>
      </w:tcPr>
    </w:tblStylePr>
    <w:tblStylePr w:type="lastCol">
      <w:tblPr/>
      <w:tcPr>
        <w:tcBorders>
          <w:left w:val="single" w:sz="8" w:space="0" w:color="E6E6E6" w:themeColor="text1" w:themeTint="1A"/>
        </w:tcBorders>
        <w:shd w:val="clear" w:color="auto" w:fill="D5F1FF" w:themeFill="accent2" w:themeFillTint="33"/>
      </w:tcPr>
    </w:tblStylePr>
    <w:tblStylePr w:type="band1Vert">
      <w:tblPr/>
      <w:tcPr>
        <w:tcBorders>
          <w:top w:val="nil"/>
          <w:left w:val="nil"/>
          <w:bottom w:val="single" w:sz="24" w:space="0" w:color="2DB9FF" w:themeColor="accent2"/>
          <w:right w:val="nil"/>
          <w:insideH w:val="nil"/>
          <w:insideV w:val="nil"/>
          <w:tl2br w:val="nil"/>
          <w:tr2bl w:val="nil"/>
        </w:tcBorders>
        <w:shd w:val="clear" w:color="auto" w:fill="F2F2F2" w:themeFill="background2" w:themeFillShade="F2"/>
      </w:tcPr>
    </w:tblStylePr>
    <w:tblStylePr w:type="band1Horz">
      <w:rPr>
        <w:color w:val="auto"/>
      </w:rPr>
      <w:tblPr/>
      <w:tcPr>
        <w:shd w:val="clear" w:color="auto" w:fill="F2F2F2" w:themeFill="background1" w:themeFillShade="F2"/>
      </w:tcPr>
    </w:tblStylePr>
  </w:style>
  <w:style w:type="paragraph" w:styleId="Rejstk1">
    <w:name w:val="index 1"/>
    <w:basedOn w:val="Normln"/>
    <w:next w:val="Normln"/>
    <w:autoRedefine/>
    <w:uiPriority w:val="99"/>
    <w:unhideWhenUsed/>
    <w:rsid w:val="00D939CD"/>
    <w:pPr>
      <w:spacing w:after="0"/>
      <w:ind w:left="200" w:hanging="200"/>
      <w:jc w:val="left"/>
    </w:pPr>
    <w:rPr>
      <w:sz w:val="18"/>
      <w:szCs w:val="18"/>
    </w:rPr>
  </w:style>
  <w:style w:type="paragraph" w:styleId="Rejstk2">
    <w:name w:val="index 2"/>
    <w:basedOn w:val="Normln"/>
    <w:next w:val="Normln"/>
    <w:autoRedefine/>
    <w:uiPriority w:val="99"/>
    <w:unhideWhenUsed/>
    <w:rsid w:val="00D939CD"/>
    <w:pPr>
      <w:spacing w:after="0"/>
      <w:ind w:left="400" w:hanging="200"/>
      <w:jc w:val="left"/>
    </w:pPr>
    <w:rPr>
      <w:sz w:val="18"/>
      <w:szCs w:val="18"/>
    </w:rPr>
  </w:style>
  <w:style w:type="paragraph" w:styleId="Rejstk3">
    <w:name w:val="index 3"/>
    <w:basedOn w:val="Normln"/>
    <w:next w:val="Normln"/>
    <w:autoRedefine/>
    <w:uiPriority w:val="99"/>
    <w:unhideWhenUsed/>
    <w:rsid w:val="00D939CD"/>
    <w:pPr>
      <w:spacing w:after="0"/>
      <w:ind w:left="600" w:hanging="200"/>
      <w:jc w:val="left"/>
    </w:pPr>
    <w:rPr>
      <w:sz w:val="18"/>
      <w:szCs w:val="18"/>
    </w:rPr>
  </w:style>
  <w:style w:type="paragraph" w:styleId="Rejstk4">
    <w:name w:val="index 4"/>
    <w:basedOn w:val="Normln"/>
    <w:next w:val="Normln"/>
    <w:autoRedefine/>
    <w:uiPriority w:val="99"/>
    <w:unhideWhenUsed/>
    <w:rsid w:val="00D939CD"/>
    <w:pPr>
      <w:spacing w:after="0"/>
      <w:ind w:left="800" w:hanging="200"/>
      <w:jc w:val="left"/>
    </w:pPr>
    <w:rPr>
      <w:sz w:val="18"/>
      <w:szCs w:val="18"/>
    </w:rPr>
  </w:style>
  <w:style w:type="paragraph" w:styleId="Rejstk5">
    <w:name w:val="index 5"/>
    <w:basedOn w:val="Normln"/>
    <w:next w:val="Normln"/>
    <w:autoRedefine/>
    <w:uiPriority w:val="99"/>
    <w:unhideWhenUsed/>
    <w:rsid w:val="00D939CD"/>
    <w:pPr>
      <w:spacing w:after="0"/>
      <w:ind w:left="1000" w:hanging="200"/>
      <w:jc w:val="left"/>
    </w:pPr>
    <w:rPr>
      <w:sz w:val="18"/>
      <w:szCs w:val="18"/>
    </w:rPr>
  </w:style>
  <w:style w:type="paragraph" w:styleId="Rejstk6">
    <w:name w:val="index 6"/>
    <w:basedOn w:val="Normln"/>
    <w:next w:val="Normln"/>
    <w:autoRedefine/>
    <w:uiPriority w:val="99"/>
    <w:unhideWhenUsed/>
    <w:rsid w:val="00D939CD"/>
    <w:pPr>
      <w:spacing w:after="0"/>
      <w:ind w:left="1200" w:hanging="200"/>
      <w:jc w:val="left"/>
    </w:pPr>
    <w:rPr>
      <w:sz w:val="18"/>
      <w:szCs w:val="18"/>
    </w:rPr>
  </w:style>
  <w:style w:type="paragraph" w:styleId="Rejstk7">
    <w:name w:val="index 7"/>
    <w:basedOn w:val="Normln"/>
    <w:next w:val="Normln"/>
    <w:autoRedefine/>
    <w:uiPriority w:val="99"/>
    <w:unhideWhenUsed/>
    <w:rsid w:val="00D939CD"/>
    <w:pPr>
      <w:spacing w:after="0"/>
      <w:ind w:left="1400" w:hanging="200"/>
      <w:jc w:val="left"/>
    </w:pPr>
    <w:rPr>
      <w:sz w:val="18"/>
      <w:szCs w:val="18"/>
    </w:rPr>
  </w:style>
  <w:style w:type="paragraph" w:styleId="Rejstk8">
    <w:name w:val="index 8"/>
    <w:basedOn w:val="Normln"/>
    <w:next w:val="Normln"/>
    <w:autoRedefine/>
    <w:uiPriority w:val="99"/>
    <w:unhideWhenUsed/>
    <w:rsid w:val="00D939CD"/>
    <w:pPr>
      <w:spacing w:after="0"/>
      <w:ind w:left="1600" w:hanging="200"/>
      <w:jc w:val="left"/>
    </w:pPr>
    <w:rPr>
      <w:sz w:val="18"/>
      <w:szCs w:val="18"/>
    </w:rPr>
  </w:style>
  <w:style w:type="paragraph" w:styleId="Rejstk9">
    <w:name w:val="index 9"/>
    <w:basedOn w:val="Normln"/>
    <w:next w:val="Normln"/>
    <w:autoRedefine/>
    <w:uiPriority w:val="99"/>
    <w:unhideWhenUsed/>
    <w:rsid w:val="00D939CD"/>
    <w:pPr>
      <w:spacing w:after="0"/>
      <w:ind w:left="1800" w:hanging="200"/>
      <w:jc w:val="left"/>
    </w:pPr>
    <w:rPr>
      <w:sz w:val="18"/>
      <w:szCs w:val="18"/>
    </w:rPr>
  </w:style>
  <w:style w:type="paragraph" w:styleId="Hlavikarejstku">
    <w:name w:val="index heading"/>
    <w:basedOn w:val="Normln"/>
    <w:next w:val="Rejstk1"/>
    <w:uiPriority w:val="99"/>
    <w:unhideWhenUsed/>
    <w:rsid w:val="00D939CD"/>
    <w:pPr>
      <w:spacing w:before="240"/>
      <w:ind w:left="140"/>
      <w:jc w:val="left"/>
    </w:pPr>
    <w:rPr>
      <w:rFonts w:asciiTheme="majorHAnsi" w:hAnsiTheme="majorHAnsi"/>
      <w:b/>
      <w:bCs/>
      <w:sz w:val="28"/>
      <w:szCs w:val="28"/>
    </w:rPr>
  </w:style>
  <w:style w:type="paragraph" w:styleId="Textvysvtlivek">
    <w:name w:val="endnote text"/>
    <w:basedOn w:val="Normln"/>
    <w:link w:val="TextvysvtlivekChar"/>
    <w:uiPriority w:val="99"/>
    <w:semiHidden/>
    <w:unhideWhenUsed/>
    <w:rsid w:val="00DB2562"/>
    <w:pPr>
      <w:spacing w:after="0" w:line="240" w:lineRule="auto"/>
    </w:pPr>
  </w:style>
  <w:style w:type="character" w:customStyle="1" w:styleId="TextvysvtlivekChar">
    <w:name w:val="Text vysvětlivek Char"/>
    <w:basedOn w:val="Standardnpsmoodstavce"/>
    <w:link w:val="Textvysvtlivek"/>
    <w:uiPriority w:val="99"/>
    <w:semiHidden/>
    <w:rsid w:val="00DB2562"/>
    <w:rPr>
      <w:rFonts w:asciiTheme="minorHAnsi" w:hAnsiTheme="minorHAnsi"/>
    </w:rPr>
  </w:style>
  <w:style w:type="character" w:styleId="Odkaznavysvtlivky">
    <w:name w:val="endnote reference"/>
    <w:basedOn w:val="Standardnpsmoodstavce"/>
    <w:uiPriority w:val="99"/>
    <w:semiHidden/>
    <w:unhideWhenUsed/>
    <w:rsid w:val="00DB2562"/>
    <w:rPr>
      <w:vertAlign w:val="superscript"/>
    </w:rPr>
  </w:style>
  <w:style w:type="character" w:styleId="Sledovanodkaz">
    <w:name w:val="FollowedHyperlink"/>
    <w:basedOn w:val="Standardnpsmoodstavce"/>
    <w:uiPriority w:val="99"/>
    <w:semiHidden/>
    <w:unhideWhenUsed/>
    <w:rsid w:val="001F4DEE"/>
    <w:rPr>
      <w:color w:val="A5A5A5"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egoe UI Semibold" w:eastAsiaTheme="minorEastAsia" w:hAnsi="Segoe UI Semibold" w:cs="Tahoma"/>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ln">
    <w:name w:val="Normal"/>
    <w:qFormat/>
    <w:rsid w:val="004D7FEE"/>
    <w:pPr>
      <w:spacing w:before="80" w:after="120"/>
      <w:jc w:val="both"/>
    </w:pPr>
    <w:rPr>
      <w:rFonts w:asciiTheme="minorHAnsi" w:hAnsiTheme="minorHAnsi"/>
      <w:sz w:val="22"/>
    </w:rPr>
  </w:style>
  <w:style w:type="paragraph" w:styleId="Nadpis1">
    <w:name w:val="heading 1"/>
    <w:basedOn w:val="Normln"/>
    <w:next w:val="Normln"/>
    <w:link w:val="Nadpis1Char"/>
    <w:uiPriority w:val="9"/>
    <w:qFormat/>
    <w:rsid w:val="00B40C0C"/>
    <w:pPr>
      <w:keepNext/>
      <w:keepLines/>
      <w:numPr>
        <w:numId w:val="1"/>
      </w:numPr>
      <w:spacing w:before="480"/>
      <w:outlineLvl w:val="0"/>
    </w:pPr>
    <w:rPr>
      <w:rFonts w:ascii="Segoe UI Semibold" w:eastAsiaTheme="majorEastAsia" w:hAnsi="Segoe UI Semibold" w:cs="Segoe UI"/>
      <w:bCs/>
      <w:color w:val="093D93" w:themeColor="accent1"/>
      <w:sz w:val="32"/>
      <w:szCs w:val="28"/>
      <w:lang w:eastAsia="cs-CZ"/>
    </w:rPr>
  </w:style>
  <w:style w:type="paragraph" w:styleId="Nadpis2">
    <w:name w:val="heading 2"/>
    <w:basedOn w:val="Normln"/>
    <w:next w:val="Normln"/>
    <w:link w:val="Nadpis2Char"/>
    <w:unhideWhenUsed/>
    <w:qFormat/>
    <w:rsid w:val="00407719"/>
    <w:pPr>
      <w:keepNext/>
      <w:keepLines/>
      <w:numPr>
        <w:ilvl w:val="1"/>
        <w:numId w:val="1"/>
      </w:numPr>
      <w:autoSpaceDE w:val="0"/>
      <w:autoSpaceDN w:val="0"/>
      <w:adjustRightInd w:val="0"/>
      <w:spacing w:before="120"/>
      <w:ind w:left="567" w:hanging="567"/>
      <w:outlineLvl w:val="1"/>
    </w:pPr>
    <w:rPr>
      <w:rFonts w:ascii="Segoe UI Semibold" w:eastAsiaTheme="majorEastAsia" w:hAnsi="Segoe UI Semibold" w:cs="Segoe UI"/>
      <w:color w:val="093D93" w:themeColor="accent1"/>
      <w:sz w:val="28"/>
      <w:szCs w:val="28"/>
      <w:lang w:eastAsia="cs-CZ"/>
    </w:rPr>
  </w:style>
  <w:style w:type="paragraph" w:styleId="Nadpis3">
    <w:name w:val="heading 3"/>
    <w:basedOn w:val="Nadpis4"/>
    <w:next w:val="Normln"/>
    <w:link w:val="Nadpis3Char"/>
    <w:uiPriority w:val="9"/>
    <w:unhideWhenUsed/>
    <w:qFormat/>
    <w:rsid w:val="0030613E"/>
    <w:pPr>
      <w:numPr>
        <w:ilvl w:val="2"/>
      </w:numPr>
      <w:spacing w:before="200"/>
      <w:ind w:left="567" w:hanging="567"/>
      <w:outlineLvl w:val="2"/>
    </w:pPr>
  </w:style>
  <w:style w:type="paragraph" w:styleId="Nadpis4">
    <w:name w:val="heading 4"/>
    <w:basedOn w:val="Normln"/>
    <w:next w:val="Normln"/>
    <w:link w:val="Nadpis4Char"/>
    <w:uiPriority w:val="9"/>
    <w:unhideWhenUsed/>
    <w:qFormat/>
    <w:rsid w:val="00407719"/>
    <w:pPr>
      <w:keepNext/>
      <w:keepLines/>
      <w:numPr>
        <w:ilvl w:val="3"/>
        <w:numId w:val="1"/>
      </w:numPr>
      <w:autoSpaceDE w:val="0"/>
      <w:autoSpaceDN w:val="0"/>
      <w:adjustRightInd w:val="0"/>
      <w:spacing w:before="120"/>
      <w:ind w:left="851" w:hanging="851"/>
      <w:outlineLvl w:val="3"/>
    </w:pPr>
    <w:rPr>
      <w:rFonts w:ascii="Segoe UI Semibold" w:eastAsiaTheme="majorEastAsia" w:hAnsi="Segoe UI Semibold" w:cs="Arial"/>
      <w:color w:val="093D93" w:themeColor="accent1"/>
      <w:szCs w:val="22"/>
      <w:lang w:eastAsia="cs-CZ"/>
    </w:rPr>
  </w:style>
  <w:style w:type="paragraph" w:styleId="Nadpis5">
    <w:name w:val="heading 5"/>
    <w:basedOn w:val="Normln"/>
    <w:next w:val="Normln"/>
    <w:link w:val="Nadpis5Char"/>
    <w:uiPriority w:val="9"/>
    <w:semiHidden/>
    <w:unhideWhenUsed/>
    <w:rsid w:val="003906A2"/>
    <w:pPr>
      <w:keepNext/>
      <w:keepLines/>
      <w:spacing w:before="200" w:after="0"/>
      <w:outlineLvl w:val="4"/>
    </w:pPr>
    <w:rPr>
      <w:rFonts w:asciiTheme="majorHAnsi" w:eastAsiaTheme="majorEastAsia" w:hAnsiTheme="majorHAnsi" w:cstheme="majorBidi"/>
      <w:color w:val="041E49" w:themeColor="accent1" w:themeShade="7F"/>
    </w:rPr>
  </w:style>
  <w:style w:type="paragraph" w:styleId="Nadpis6">
    <w:name w:val="heading 6"/>
    <w:basedOn w:val="Normln"/>
    <w:next w:val="Normln"/>
    <w:link w:val="Nadpis6Char"/>
    <w:uiPriority w:val="9"/>
    <w:semiHidden/>
    <w:unhideWhenUsed/>
    <w:qFormat/>
    <w:rsid w:val="003906A2"/>
    <w:pPr>
      <w:keepNext/>
      <w:keepLines/>
      <w:spacing w:before="200" w:after="0"/>
      <w:outlineLvl w:val="5"/>
    </w:pPr>
    <w:rPr>
      <w:rFonts w:asciiTheme="majorHAnsi" w:eastAsiaTheme="majorEastAsia" w:hAnsiTheme="majorHAnsi" w:cstheme="majorBidi"/>
      <w:i/>
      <w:iCs/>
      <w:color w:val="041E49" w:themeColor="accent1" w:themeShade="7F"/>
    </w:rPr>
  </w:style>
  <w:style w:type="paragraph" w:styleId="Nadpis7">
    <w:name w:val="heading 7"/>
    <w:basedOn w:val="Normln"/>
    <w:next w:val="Normln"/>
    <w:link w:val="Nadpis7Char"/>
    <w:uiPriority w:val="9"/>
    <w:semiHidden/>
    <w:unhideWhenUsed/>
    <w:qFormat/>
    <w:rsid w:val="003906A2"/>
    <w:pPr>
      <w:keepNext/>
      <w:keepLines/>
      <w:spacing w:before="200" w:after="0"/>
      <w:outlineLvl w:val="6"/>
    </w:pPr>
    <w:rPr>
      <w:rFonts w:asciiTheme="majorHAnsi" w:eastAsiaTheme="majorEastAsia" w:hAnsiTheme="majorHAnsi" w:cstheme="majorBidi"/>
      <w:i/>
      <w:iCs/>
      <w:color w:val="484848" w:themeColor="text1" w:themeTint="BF"/>
    </w:rPr>
  </w:style>
  <w:style w:type="paragraph" w:styleId="Nadpis8">
    <w:name w:val="heading 8"/>
    <w:basedOn w:val="Normln"/>
    <w:next w:val="Normln"/>
    <w:link w:val="Nadpis8Char"/>
    <w:uiPriority w:val="9"/>
    <w:semiHidden/>
    <w:unhideWhenUsed/>
    <w:qFormat/>
    <w:rsid w:val="003906A2"/>
    <w:pPr>
      <w:keepNext/>
      <w:keepLines/>
      <w:spacing w:before="200" w:after="0"/>
      <w:outlineLvl w:val="7"/>
    </w:pPr>
    <w:rPr>
      <w:rFonts w:asciiTheme="majorHAnsi" w:eastAsiaTheme="majorEastAsia" w:hAnsiTheme="majorHAnsi" w:cstheme="majorBidi"/>
      <w:color w:val="093D93" w:themeColor="accent1"/>
    </w:rPr>
  </w:style>
  <w:style w:type="paragraph" w:styleId="Nadpis9">
    <w:name w:val="heading 9"/>
    <w:basedOn w:val="Normln"/>
    <w:next w:val="Normln"/>
    <w:link w:val="Nadpis9Char"/>
    <w:uiPriority w:val="9"/>
    <w:semiHidden/>
    <w:unhideWhenUsed/>
    <w:qFormat/>
    <w:rsid w:val="003906A2"/>
    <w:pPr>
      <w:keepNext/>
      <w:keepLines/>
      <w:spacing w:before="200" w:after="0"/>
      <w:outlineLvl w:val="8"/>
    </w:pPr>
    <w:rPr>
      <w:rFonts w:asciiTheme="majorHAnsi" w:eastAsiaTheme="majorEastAsia" w:hAnsiTheme="majorHAnsi" w:cstheme="majorBidi"/>
      <w:i/>
      <w:iCs/>
      <w:color w:val="484848"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40C0C"/>
    <w:rPr>
      <w:rFonts w:eastAsiaTheme="majorEastAsia" w:cs="Segoe UI"/>
      <w:bCs/>
      <w:color w:val="093D93" w:themeColor="accent1"/>
      <w:sz w:val="32"/>
      <w:szCs w:val="28"/>
      <w:lang w:eastAsia="cs-CZ"/>
    </w:rPr>
  </w:style>
  <w:style w:type="character" w:customStyle="1" w:styleId="Nadpis2Char">
    <w:name w:val="Nadpis 2 Char"/>
    <w:basedOn w:val="Standardnpsmoodstavce"/>
    <w:link w:val="Nadpis2"/>
    <w:rsid w:val="00B40C0C"/>
    <w:rPr>
      <w:rFonts w:eastAsiaTheme="majorEastAsia" w:cs="Segoe UI"/>
      <w:color w:val="093D93" w:themeColor="accent1"/>
      <w:sz w:val="28"/>
      <w:szCs w:val="28"/>
      <w:lang w:eastAsia="cs-CZ"/>
    </w:rPr>
  </w:style>
  <w:style w:type="character" w:customStyle="1" w:styleId="Nadpis4Char">
    <w:name w:val="Nadpis 4 Char"/>
    <w:basedOn w:val="Standardnpsmoodstavce"/>
    <w:link w:val="Nadpis4"/>
    <w:uiPriority w:val="9"/>
    <w:rsid w:val="00B40C0C"/>
    <w:rPr>
      <w:rFonts w:eastAsiaTheme="majorEastAsia" w:cs="Arial"/>
      <w:color w:val="093D93" w:themeColor="accent1"/>
      <w:sz w:val="22"/>
      <w:szCs w:val="22"/>
      <w:lang w:eastAsia="cs-CZ"/>
    </w:rPr>
  </w:style>
  <w:style w:type="character" w:customStyle="1" w:styleId="Nadpis3Char">
    <w:name w:val="Nadpis 3 Char"/>
    <w:basedOn w:val="Standardnpsmoodstavce"/>
    <w:link w:val="Nadpis3"/>
    <w:uiPriority w:val="9"/>
    <w:rsid w:val="0030613E"/>
    <w:rPr>
      <w:rFonts w:eastAsiaTheme="majorEastAsia" w:cs="Arial"/>
      <w:color w:val="093D93" w:themeColor="accent1"/>
      <w:sz w:val="22"/>
      <w:szCs w:val="22"/>
      <w:lang w:eastAsia="cs-CZ"/>
    </w:rPr>
  </w:style>
  <w:style w:type="character" w:customStyle="1" w:styleId="Nadpis5Char">
    <w:name w:val="Nadpis 5 Char"/>
    <w:basedOn w:val="Standardnpsmoodstavce"/>
    <w:link w:val="Nadpis5"/>
    <w:uiPriority w:val="9"/>
    <w:semiHidden/>
    <w:rsid w:val="003906A2"/>
    <w:rPr>
      <w:rFonts w:asciiTheme="majorHAnsi" w:eastAsiaTheme="majorEastAsia" w:hAnsiTheme="majorHAnsi" w:cstheme="majorBidi"/>
      <w:color w:val="041E49" w:themeColor="accent1" w:themeShade="7F"/>
    </w:rPr>
  </w:style>
  <w:style w:type="character" w:customStyle="1" w:styleId="Nadpis6Char">
    <w:name w:val="Nadpis 6 Char"/>
    <w:basedOn w:val="Standardnpsmoodstavce"/>
    <w:link w:val="Nadpis6"/>
    <w:uiPriority w:val="9"/>
    <w:semiHidden/>
    <w:rsid w:val="003906A2"/>
    <w:rPr>
      <w:rFonts w:asciiTheme="majorHAnsi" w:eastAsiaTheme="majorEastAsia" w:hAnsiTheme="majorHAnsi" w:cstheme="majorBidi"/>
      <w:i/>
      <w:iCs/>
      <w:color w:val="041E49" w:themeColor="accent1" w:themeShade="7F"/>
    </w:rPr>
  </w:style>
  <w:style w:type="character" w:customStyle="1" w:styleId="Nadpis7Char">
    <w:name w:val="Nadpis 7 Char"/>
    <w:basedOn w:val="Standardnpsmoodstavce"/>
    <w:link w:val="Nadpis7"/>
    <w:uiPriority w:val="9"/>
    <w:semiHidden/>
    <w:rsid w:val="003906A2"/>
    <w:rPr>
      <w:rFonts w:asciiTheme="majorHAnsi" w:eastAsiaTheme="majorEastAsia" w:hAnsiTheme="majorHAnsi" w:cstheme="majorBidi"/>
      <w:i/>
      <w:iCs/>
      <w:color w:val="484848" w:themeColor="text1" w:themeTint="BF"/>
    </w:rPr>
  </w:style>
  <w:style w:type="character" w:customStyle="1" w:styleId="Nadpis8Char">
    <w:name w:val="Nadpis 8 Char"/>
    <w:basedOn w:val="Standardnpsmoodstavce"/>
    <w:link w:val="Nadpis8"/>
    <w:uiPriority w:val="9"/>
    <w:semiHidden/>
    <w:rsid w:val="003906A2"/>
    <w:rPr>
      <w:rFonts w:asciiTheme="majorHAnsi" w:eastAsiaTheme="majorEastAsia" w:hAnsiTheme="majorHAnsi" w:cstheme="majorBidi"/>
      <w:color w:val="093D93" w:themeColor="accent1"/>
      <w:sz w:val="20"/>
      <w:szCs w:val="20"/>
    </w:rPr>
  </w:style>
  <w:style w:type="character" w:customStyle="1" w:styleId="Nadpis9Char">
    <w:name w:val="Nadpis 9 Char"/>
    <w:basedOn w:val="Standardnpsmoodstavce"/>
    <w:link w:val="Nadpis9"/>
    <w:uiPriority w:val="9"/>
    <w:semiHidden/>
    <w:rsid w:val="003906A2"/>
    <w:rPr>
      <w:rFonts w:asciiTheme="majorHAnsi" w:eastAsiaTheme="majorEastAsia" w:hAnsiTheme="majorHAnsi" w:cstheme="majorBidi"/>
      <w:i/>
      <w:iCs/>
      <w:color w:val="484848" w:themeColor="text1" w:themeTint="BF"/>
      <w:sz w:val="20"/>
      <w:szCs w:val="20"/>
    </w:rPr>
  </w:style>
  <w:style w:type="paragraph" w:styleId="Odstavecseseznamem">
    <w:name w:val="List Paragraph"/>
    <w:aliases w:val="Odstavec cíl se seznamem,Odstavec se seznamem1"/>
    <w:basedOn w:val="Normln"/>
    <w:link w:val="OdstavecseseznamemChar"/>
    <w:uiPriority w:val="34"/>
    <w:rsid w:val="003906A2"/>
    <w:pPr>
      <w:ind w:left="720"/>
      <w:contextualSpacing/>
    </w:pPr>
  </w:style>
  <w:style w:type="character" w:customStyle="1" w:styleId="OdstavecseseznamemChar">
    <w:name w:val="Odstavec se seznamem Char"/>
    <w:aliases w:val="Odstavec cíl se seznamem Char,Odstavec se seznamem1 Char"/>
    <w:basedOn w:val="Standardnpsmoodstavce"/>
    <w:link w:val="Odstavecseseznamem"/>
    <w:uiPriority w:val="34"/>
    <w:rsid w:val="00B00B5A"/>
  </w:style>
  <w:style w:type="table" w:styleId="Mkatabulky">
    <w:name w:val="Table Grid"/>
    <w:basedOn w:val="Normlntabulka"/>
    <w:uiPriority w:val="59"/>
    <w:rsid w:val="008C7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ulek">
    <w:name w:val="caption"/>
    <w:basedOn w:val="Normln"/>
    <w:next w:val="Normln"/>
    <w:uiPriority w:val="35"/>
    <w:unhideWhenUsed/>
    <w:qFormat/>
    <w:rsid w:val="00AD2441"/>
    <w:pPr>
      <w:spacing w:before="60" w:after="360" w:line="240" w:lineRule="auto"/>
      <w:jc w:val="center"/>
    </w:pPr>
    <w:rPr>
      <w:rFonts w:asciiTheme="majorHAnsi" w:hAnsiTheme="majorHAnsi"/>
      <w:b/>
      <w:bCs/>
      <w:sz w:val="16"/>
    </w:rPr>
  </w:style>
  <w:style w:type="paragraph" w:styleId="Textpoznpodarou">
    <w:name w:val="footnote text"/>
    <w:basedOn w:val="Normln"/>
    <w:link w:val="TextpoznpodarouChar"/>
    <w:uiPriority w:val="99"/>
    <w:unhideWhenUsed/>
    <w:rsid w:val="00F26625"/>
    <w:rPr>
      <w:sz w:val="16"/>
    </w:rPr>
  </w:style>
  <w:style w:type="character" w:customStyle="1" w:styleId="TextpoznpodarouChar">
    <w:name w:val="Text pozn. pod čarou Char"/>
    <w:basedOn w:val="Standardnpsmoodstavce"/>
    <w:link w:val="Textpoznpodarou"/>
    <w:uiPriority w:val="99"/>
    <w:rsid w:val="00F26625"/>
    <w:rPr>
      <w:rFonts w:ascii="Arial" w:hAnsi="Arial"/>
      <w:sz w:val="16"/>
      <w:szCs w:val="20"/>
    </w:rPr>
  </w:style>
  <w:style w:type="character" w:styleId="Znakapoznpodarou">
    <w:name w:val="footnote reference"/>
    <w:basedOn w:val="Standardnpsmoodstavce"/>
    <w:uiPriority w:val="99"/>
    <w:semiHidden/>
    <w:unhideWhenUsed/>
    <w:rsid w:val="00F07151"/>
    <w:rPr>
      <w:vertAlign w:val="superscript"/>
    </w:rPr>
  </w:style>
  <w:style w:type="character" w:customStyle="1" w:styleId="Bulletslevel1Char">
    <w:name w:val="Bullets level 1 Char"/>
    <w:basedOn w:val="Standardnpsmoodstavce"/>
    <w:link w:val="Bulletslevel1"/>
    <w:locked/>
    <w:rsid w:val="009919C9"/>
    <w:rPr>
      <w:rFonts w:asciiTheme="minorHAnsi" w:hAnsiTheme="minorHAnsi" w:cs="Arial"/>
      <w:color w:val="000000"/>
      <w:sz w:val="19"/>
      <w:lang w:val="en-GB"/>
    </w:rPr>
  </w:style>
  <w:style w:type="paragraph" w:customStyle="1" w:styleId="Bulletslevel1">
    <w:name w:val="Bullets level 1"/>
    <w:basedOn w:val="Normln"/>
    <w:link w:val="Bulletslevel1Char"/>
    <w:rsid w:val="009919C9"/>
    <w:pPr>
      <w:numPr>
        <w:numId w:val="3"/>
      </w:numPr>
      <w:spacing w:before="120"/>
    </w:pPr>
    <w:rPr>
      <w:rFonts w:cs="Arial"/>
      <w:color w:val="000000"/>
      <w:sz w:val="19"/>
      <w:lang w:val="en-GB"/>
    </w:rPr>
  </w:style>
  <w:style w:type="paragraph" w:styleId="Textbubliny">
    <w:name w:val="Balloon Text"/>
    <w:basedOn w:val="Normln"/>
    <w:link w:val="TextbublinyChar"/>
    <w:uiPriority w:val="99"/>
    <w:semiHidden/>
    <w:unhideWhenUsed/>
    <w:rsid w:val="00300636"/>
    <w:pPr>
      <w:spacing w:after="0"/>
    </w:pPr>
    <w:rPr>
      <w:rFonts w:ascii="Tahoma" w:hAnsi="Tahoma"/>
      <w:sz w:val="16"/>
      <w:szCs w:val="16"/>
    </w:rPr>
  </w:style>
  <w:style w:type="character" w:customStyle="1" w:styleId="TextbublinyChar">
    <w:name w:val="Text bubliny Char"/>
    <w:basedOn w:val="Standardnpsmoodstavce"/>
    <w:link w:val="Textbubliny"/>
    <w:uiPriority w:val="99"/>
    <w:semiHidden/>
    <w:rsid w:val="00300636"/>
    <w:rPr>
      <w:rFonts w:ascii="Tahoma" w:hAnsi="Tahoma" w:cs="Tahoma"/>
      <w:sz w:val="16"/>
      <w:szCs w:val="16"/>
    </w:rPr>
  </w:style>
  <w:style w:type="paragraph" w:styleId="Zhlav">
    <w:name w:val="header"/>
    <w:basedOn w:val="Normln"/>
    <w:link w:val="ZhlavChar"/>
    <w:uiPriority w:val="99"/>
    <w:unhideWhenUsed/>
    <w:rsid w:val="00AD6C2B"/>
    <w:pPr>
      <w:tabs>
        <w:tab w:val="center" w:pos="4536"/>
        <w:tab w:val="right" w:pos="9072"/>
      </w:tabs>
      <w:spacing w:after="0"/>
    </w:pPr>
  </w:style>
  <w:style w:type="character" w:customStyle="1" w:styleId="ZhlavChar">
    <w:name w:val="Záhlaví Char"/>
    <w:basedOn w:val="Standardnpsmoodstavce"/>
    <w:link w:val="Zhlav"/>
    <w:uiPriority w:val="99"/>
    <w:rsid w:val="00AD6C2B"/>
    <w:rPr>
      <w:rFonts w:ascii="Arial" w:hAnsi="Arial"/>
      <w:sz w:val="20"/>
    </w:rPr>
  </w:style>
  <w:style w:type="paragraph" w:styleId="Zpat">
    <w:name w:val="footer"/>
    <w:basedOn w:val="Normln"/>
    <w:link w:val="ZpatChar"/>
    <w:uiPriority w:val="99"/>
    <w:unhideWhenUsed/>
    <w:rsid w:val="00AD6C2B"/>
    <w:pPr>
      <w:tabs>
        <w:tab w:val="center" w:pos="4536"/>
        <w:tab w:val="right" w:pos="9072"/>
      </w:tabs>
      <w:spacing w:after="0"/>
    </w:pPr>
  </w:style>
  <w:style w:type="character" w:customStyle="1" w:styleId="ZpatChar">
    <w:name w:val="Zápatí Char"/>
    <w:basedOn w:val="Standardnpsmoodstavce"/>
    <w:link w:val="Zpat"/>
    <w:uiPriority w:val="99"/>
    <w:rsid w:val="00AD6C2B"/>
    <w:rPr>
      <w:rFonts w:ascii="Arial" w:hAnsi="Arial"/>
      <w:sz w:val="20"/>
    </w:rPr>
  </w:style>
  <w:style w:type="character" w:styleId="Odkaznakoment">
    <w:name w:val="annotation reference"/>
    <w:basedOn w:val="Standardnpsmoodstavce"/>
    <w:uiPriority w:val="99"/>
    <w:semiHidden/>
    <w:unhideWhenUsed/>
    <w:rsid w:val="00640FA6"/>
    <w:rPr>
      <w:sz w:val="16"/>
      <w:szCs w:val="16"/>
    </w:rPr>
  </w:style>
  <w:style w:type="paragraph" w:styleId="Textkomente">
    <w:name w:val="annotation text"/>
    <w:basedOn w:val="Normln"/>
    <w:link w:val="TextkomenteChar"/>
    <w:uiPriority w:val="99"/>
    <w:semiHidden/>
    <w:unhideWhenUsed/>
    <w:rsid w:val="00640FA6"/>
  </w:style>
  <w:style w:type="character" w:customStyle="1" w:styleId="TextkomenteChar">
    <w:name w:val="Text komentáře Char"/>
    <w:basedOn w:val="Standardnpsmoodstavce"/>
    <w:link w:val="Textkomente"/>
    <w:uiPriority w:val="99"/>
    <w:semiHidden/>
    <w:rsid w:val="00640FA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640FA6"/>
    <w:rPr>
      <w:b/>
      <w:bCs/>
    </w:rPr>
  </w:style>
  <w:style w:type="character" w:customStyle="1" w:styleId="PedmtkomenteChar">
    <w:name w:val="Předmět komentáře Char"/>
    <w:basedOn w:val="TextkomenteChar"/>
    <w:link w:val="Pedmtkomente"/>
    <w:uiPriority w:val="99"/>
    <w:semiHidden/>
    <w:rsid w:val="00640FA6"/>
    <w:rPr>
      <w:rFonts w:ascii="Arial" w:hAnsi="Arial"/>
      <w:b/>
      <w:bCs/>
      <w:sz w:val="20"/>
      <w:szCs w:val="20"/>
    </w:rPr>
  </w:style>
  <w:style w:type="table" w:styleId="Svtlstnovnzvraznn1">
    <w:name w:val="Light Shading Accent 1"/>
    <w:basedOn w:val="Normlntabulka"/>
    <w:uiPriority w:val="60"/>
    <w:rsid w:val="00C96D6F"/>
    <w:pPr>
      <w:spacing w:after="0" w:line="240" w:lineRule="auto"/>
    </w:pPr>
    <w:rPr>
      <w:color w:val="062D6D" w:themeColor="accent1" w:themeShade="BF"/>
    </w:rPr>
    <w:tblPr>
      <w:tblStyleRowBandSize w:val="1"/>
      <w:tblStyleColBandSize w:val="1"/>
      <w:tblBorders>
        <w:top w:val="single" w:sz="8" w:space="0" w:color="093D93" w:themeColor="accent1"/>
        <w:bottom w:val="single" w:sz="8" w:space="0" w:color="093D93" w:themeColor="accent1"/>
      </w:tblBorders>
    </w:tblPr>
    <w:tblStylePr w:type="fir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lastRow">
      <w:pPr>
        <w:spacing w:before="0" w:after="0" w:line="240" w:lineRule="auto"/>
      </w:pPr>
      <w:rPr>
        <w:b/>
        <w:bCs/>
      </w:rPr>
      <w:tblPr/>
      <w:tcPr>
        <w:tcBorders>
          <w:top w:val="single" w:sz="8" w:space="0" w:color="093D93" w:themeColor="accent1"/>
          <w:left w:val="nil"/>
          <w:bottom w:val="single" w:sz="8" w:space="0" w:color="093D9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C9FA" w:themeFill="accent1" w:themeFillTint="3F"/>
      </w:tcPr>
    </w:tblStylePr>
    <w:tblStylePr w:type="band1Horz">
      <w:tblPr/>
      <w:tcPr>
        <w:tcBorders>
          <w:left w:val="nil"/>
          <w:right w:val="nil"/>
          <w:insideH w:val="nil"/>
          <w:insideV w:val="nil"/>
        </w:tcBorders>
        <w:shd w:val="clear" w:color="auto" w:fill="ACC9FA" w:themeFill="accent1" w:themeFillTint="3F"/>
      </w:tcPr>
    </w:tblStylePr>
  </w:style>
  <w:style w:type="table" w:styleId="Svtlstnovn">
    <w:name w:val="Light Shading"/>
    <w:basedOn w:val="Normlntabulka"/>
    <w:uiPriority w:val="60"/>
    <w:rsid w:val="00C96D6F"/>
    <w:pPr>
      <w:spacing w:after="0" w:line="240" w:lineRule="auto"/>
    </w:pPr>
    <w:rPr>
      <w:color w:val="080808" w:themeColor="text1" w:themeShade="BF"/>
    </w:rPr>
    <w:tblPr>
      <w:tblStyleRowBandSize w:val="1"/>
      <w:tblStyleColBandSize w:val="1"/>
      <w:tblBorders>
        <w:top w:val="single" w:sz="8" w:space="0" w:color="0C0C0C" w:themeColor="text1"/>
        <w:bottom w:val="single" w:sz="8" w:space="0" w:color="0C0C0C" w:themeColor="text1"/>
      </w:tblBorders>
    </w:tblPr>
    <w:tblStylePr w:type="fir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lastRow">
      <w:pPr>
        <w:spacing w:before="0" w:after="0" w:line="240" w:lineRule="auto"/>
      </w:pPr>
      <w:rPr>
        <w:b/>
        <w:bCs/>
      </w:rPr>
      <w:tblPr/>
      <w:tcPr>
        <w:tcBorders>
          <w:top w:val="single" w:sz="8" w:space="0" w:color="0C0C0C" w:themeColor="text1"/>
          <w:left w:val="nil"/>
          <w:bottom w:val="single" w:sz="8" w:space="0" w:color="0C0C0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2C2C2" w:themeFill="text1" w:themeFillTint="3F"/>
      </w:tcPr>
    </w:tblStylePr>
    <w:tblStylePr w:type="band1Horz">
      <w:tblPr/>
      <w:tcPr>
        <w:tcBorders>
          <w:left w:val="nil"/>
          <w:right w:val="nil"/>
          <w:insideH w:val="nil"/>
          <w:insideV w:val="nil"/>
        </w:tcBorders>
        <w:shd w:val="clear" w:color="auto" w:fill="C2C2C2" w:themeFill="text1" w:themeFillTint="3F"/>
      </w:tcPr>
    </w:tblStylePr>
  </w:style>
  <w:style w:type="table" w:styleId="Svtlseznamzvraznn1">
    <w:name w:val="Light List Accent 1"/>
    <w:basedOn w:val="Normlntabulka"/>
    <w:uiPriority w:val="61"/>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tblBorders>
    </w:tblPr>
    <w:tblStylePr w:type="firstRow">
      <w:pPr>
        <w:spacing w:before="0" w:after="0" w:line="240" w:lineRule="auto"/>
      </w:pPr>
      <w:rPr>
        <w:b/>
        <w:bCs/>
        <w:color w:val="FFFFFF" w:themeColor="background1"/>
      </w:rPr>
      <w:tblPr/>
      <w:tcPr>
        <w:shd w:val="clear" w:color="auto" w:fill="093D93" w:themeFill="accent1"/>
      </w:tcPr>
    </w:tblStylePr>
    <w:tblStylePr w:type="lastRow">
      <w:pPr>
        <w:spacing w:before="0" w:after="0" w:line="240" w:lineRule="auto"/>
      </w:pPr>
      <w:rPr>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tcBorders>
      </w:tcPr>
    </w:tblStylePr>
    <w:tblStylePr w:type="firstCol">
      <w:rPr>
        <w:b/>
        <w:bCs/>
      </w:rPr>
    </w:tblStylePr>
    <w:tblStylePr w:type="lastCol">
      <w:rPr>
        <w:b/>
        <w:bCs/>
      </w:r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style>
  <w:style w:type="table" w:styleId="Svtlmkazvraznn1">
    <w:name w:val="Light Grid Accent 1"/>
    <w:basedOn w:val="Normlntabulka"/>
    <w:uiPriority w:val="62"/>
    <w:rsid w:val="00C96D6F"/>
    <w:pPr>
      <w:spacing w:after="0" w:line="240" w:lineRule="auto"/>
    </w:pPr>
    <w:tblPr>
      <w:tblStyleRowBandSize w:val="1"/>
      <w:tblStyleColBandSize w:val="1"/>
      <w:tblBorders>
        <w:top w:val="single" w:sz="8" w:space="0" w:color="093D93" w:themeColor="accent1"/>
        <w:left w:val="single" w:sz="8" w:space="0" w:color="093D93" w:themeColor="accent1"/>
        <w:bottom w:val="single" w:sz="8" w:space="0" w:color="093D93" w:themeColor="accent1"/>
        <w:right w:val="single" w:sz="8" w:space="0" w:color="093D93" w:themeColor="accent1"/>
        <w:insideH w:val="single" w:sz="8" w:space="0" w:color="093D93" w:themeColor="accent1"/>
        <w:insideV w:val="single" w:sz="8" w:space="0" w:color="093D93"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18" w:space="0" w:color="093D93" w:themeColor="accent1"/>
          <w:right w:val="single" w:sz="8" w:space="0" w:color="093D93" w:themeColor="accent1"/>
          <w:insideH w:val="nil"/>
          <w:insideV w:val="single" w:sz="8" w:space="0" w:color="093D93"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93D93" w:themeColor="accent1"/>
          <w:left w:val="single" w:sz="8" w:space="0" w:color="093D93" w:themeColor="accent1"/>
          <w:bottom w:val="single" w:sz="8" w:space="0" w:color="093D93" w:themeColor="accent1"/>
          <w:right w:val="single" w:sz="8" w:space="0" w:color="093D93" w:themeColor="accent1"/>
          <w:insideH w:val="nil"/>
          <w:insideV w:val="single" w:sz="8" w:space="0" w:color="093D93"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tcPr>
    </w:tblStylePr>
    <w:tblStylePr w:type="band1Vert">
      <w:tblPr/>
      <w:tcPr>
        <w:tcBorders>
          <w:top w:val="single" w:sz="8" w:space="0" w:color="093D93" w:themeColor="accent1"/>
          <w:left w:val="single" w:sz="8" w:space="0" w:color="093D93" w:themeColor="accent1"/>
          <w:bottom w:val="single" w:sz="8" w:space="0" w:color="093D93" w:themeColor="accent1"/>
          <w:right w:val="single" w:sz="8" w:space="0" w:color="093D93" w:themeColor="accent1"/>
        </w:tcBorders>
        <w:shd w:val="clear" w:color="auto" w:fill="ACC9FA" w:themeFill="accent1" w:themeFillTint="3F"/>
      </w:tcPr>
    </w:tblStylePr>
    <w:tblStylePr w:type="band1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shd w:val="clear" w:color="auto" w:fill="ACC9FA" w:themeFill="accent1" w:themeFillTint="3F"/>
      </w:tcPr>
    </w:tblStylePr>
    <w:tblStylePr w:type="band2Horz">
      <w:tblPr/>
      <w:tcPr>
        <w:tcBorders>
          <w:top w:val="single" w:sz="8" w:space="0" w:color="093D93" w:themeColor="accent1"/>
          <w:left w:val="single" w:sz="8" w:space="0" w:color="093D93" w:themeColor="accent1"/>
          <w:bottom w:val="single" w:sz="8" w:space="0" w:color="093D93" w:themeColor="accent1"/>
          <w:right w:val="single" w:sz="8" w:space="0" w:color="093D93" w:themeColor="accent1"/>
          <w:insideV w:val="single" w:sz="8" w:space="0" w:color="093D93" w:themeColor="accent1"/>
        </w:tcBorders>
      </w:tcPr>
    </w:tblStylePr>
  </w:style>
  <w:style w:type="character" w:styleId="Nzevknihy">
    <w:name w:val="Book Title"/>
    <w:basedOn w:val="Standardnpsmoodstavce"/>
    <w:uiPriority w:val="33"/>
    <w:rsid w:val="003906A2"/>
    <w:rPr>
      <w:b/>
      <w:bCs/>
      <w:smallCaps/>
      <w:spacing w:val="5"/>
    </w:rPr>
  </w:style>
  <w:style w:type="paragraph" w:styleId="Nadpisobsahu">
    <w:name w:val="TOC Heading"/>
    <w:aliases w:val="Nadpis nečíslovaných kapitol"/>
    <w:basedOn w:val="Nadpis1"/>
    <w:next w:val="Normln"/>
    <w:uiPriority w:val="39"/>
    <w:unhideWhenUsed/>
    <w:qFormat/>
    <w:rsid w:val="008240B8"/>
    <w:pPr>
      <w:numPr>
        <w:numId w:val="0"/>
      </w:numPr>
      <w:outlineLvl w:val="9"/>
    </w:pPr>
    <w:rPr>
      <w:rFonts w:ascii="Segoe UI" w:hAnsi="Segoe UI"/>
    </w:rPr>
  </w:style>
  <w:style w:type="paragraph" w:styleId="Obsah1">
    <w:name w:val="toc 1"/>
    <w:basedOn w:val="Normln"/>
    <w:next w:val="Normln"/>
    <w:autoRedefine/>
    <w:uiPriority w:val="39"/>
    <w:unhideWhenUsed/>
    <w:rsid w:val="00407719"/>
    <w:pPr>
      <w:tabs>
        <w:tab w:val="left" w:pos="400"/>
        <w:tab w:val="right" w:leader="dot" w:pos="9072"/>
      </w:tabs>
      <w:spacing w:after="0" w:line="360" w:lineRule="auto"/>
    </w:pPr>
    <w:rPr>
      <w:noProof/>
    </w:rPr>
  </w:style>
  <w:style w:type="paragraph" w:styleId="Obsah2">
    <w:name w:val="toc 2"/>
    <w:basedOn w:val="Normln"/>
    <w:next w:val="Normln"/>
    <w:autoRedefine/>
    <w:uiPriority w:val="39"/>
    <w:unhideWhenUsed/>
    <w:rsid w:val="00407719"/>
    <w:pPr>
      <w:tabs>
        <w:tab w:val="left" w:pos="880"/>
        <w:tab w:val="right" w:leader="dot" w:pos="9063"/>
      </w:tabs>
      <w:spacing w:after="0" w:line="360" w:lineRule="auto"/>
      <w:ind w:left="198"/>
    </w:pPr>
  </w:style>
  <w:style w:type="paragraph" w:styleId="Obsah3">
    <w:name w:val="toc 3"/>
    <w:basedOn w:val="Normln"/>
    <w:next w:val="Normln"/>
    <w:autoRedefine/>
    <w:uiPriority w:val="39"/>
    <w:unhideWhenUsed/>
    <w:rsid w:val="00C97C97"/>
    <w:pPr>
      <w:tabs>
        <w:tab w:val="left" w:pos="1100"/>
        <w:tab w:val="right" w:leader="dot" w:pos="9063"/>
      </w:tabs>
      <w:spacing w:before="0" w:after="0" w:line="360" w:lineRule="auto"/>
      <w:ind w:left="403"/>
    </w:pPr>
  </w:style>
  <w:style w:type="character" w:styleId="Hypertextovodkaz">
    <w:name w:val="Hyperlink"/>
    <w:basedOn w:val="Standardnpsmoodstavce"/>
    <w:uiPriority w:val="99"/>
    <w:unhideWhenUsed/>
    <w:rsid w:val="00E769C1"/>
    <w:rPr>
      <w:color w:val="009DEA" w:themeColor="hyperlink"/>
      <w:u w:val="single"/>
    </w:rPr>
  </w:style>
  <w:style w:type="paragraph" w:styleId="Seznamobrzk">
    <w:name w:val="table of figures"/>
    <w:basedOn w:val="Normln"/>
    <w:next w:val="Normln"/>
    <w:uiPriority w:val="99"/>
    <w:unhideWhenUsed/>
    <w:rsid w:val="00E769C1"/>
    <w:pPr>
      <w:spacing w:after="0"/>
    </w:pPr>
  </w:style>
  <w:style w:type="table" w:styleId="Svtlseznamzvraznn2">
    <w:name w:val="Light List Accent 2"/>
    <w:basedOn w:val="Normlntabulka"/>
    <w:uiPriority w:val="61"/>
    <w:rsid w:val="005911C1"/>
    <w:pPr>
      <w:spacing w:after="0" w:line="240" w:lineRule="auto"/>
    </w:pPr>
    <w:tblPr>
      <w:tblStyleRowBandSize w:val="1"/>
      <w:tblStyleColBandSize w:val="1"/>
      <w:tblBorders>
        <w:top w:val="single" w:sz="8" w:space="0" w:color="2DB9FF" w:themeColor="accent2"/>
        <w:left w:val="single" w:sz="8" w:space="0" w:color="2DB9FF" w:themeColor="accent2"/>
        <w:bottom w:val="single" w:sz="8" w:space="0" w:color="2DB9FF" w:themeColor="accent2"/>
        <w:right w:val="single" w:sz="8" w:space="0" w:color="2DB9FF" w:themeColor="accent2"/>
      </w:tblBorders>
    </w:tblPr>
    <w:tblStylePr w:type="firstRow">
      <w:pPr>
        <w:spacing w:before="0" w:after="0" w:line="240" w:lineRule="auto"/>
      </w:pPr>
      <w:rPr>
        <w:b/>
        <w:bCs/>
        <w:color w:val="FFFFFF" w:themeColor="background1"/>
      </w:rPr>
      <w:tblPr/>
      <w:tcPr>
        <w:shd w:val="clear" w:color="auto" w:fill="2DB9FF" w:themeFill="accent2"/>
      </w:tcPr>
    </w:tblStylePr>
    <w:tblStylePr w:type="lastRow">
      <w:pPr>
        <w:spacing w:before="0" w:after="0" w:line="240" w:lineRule="auto"/>
      </w:pPr>
      <w:rPr>
        <w:b/>
        <w:bCs/>
      </w:rPr>
      <w:tblPr/>
      <w:tcPr>
        <w:tcBorders>
          <w:top w:val="double" w:sz="6" w:space="0" w:color="2DB9FF" w:themeColor="accent2"/>
          <w:left w:val="single" w:sz="8" w:space="0" w:color="2DB9FF" w:themeColor="accent2"/>
          <w:bottom w:val="single" w:sz="8" w:space="0" w:color="2DB9FF" w:themeColor="accent2"/>
          <w:right w:val="single" w:sz="8" w:space="0" w:color="2DB9FF" w:themeColor="accent2"/>
        </w:tcBorders>
      </w:tcPr>
    </w:tblStylePr>
    <w:tblStylePr w:type="firstCol">
      <w:rPr>
        <w:b/>
        <w:bCs/>
      </w:rPr>
    </w:tblStylePr>
    <w:tblStylePr w:type="lastCol">
      <w:rPr>
        <w:b/>
        <w:bCs/>
      </w:rPr>
    </w:tblStylePr>
    <w:tblStylePr w:type="band1Vert">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tblStylePr w:type="band1Horz">
      <w:tblPr/>
      <w:tcPr>
        <w:tcBorders>
          <w:top w:val="single" w:sz="8" w:space="0" w:color="2DB9FF" w:themeColor="accent2"/>
          <w:left w:val="single" w:sz="8" w:space="0" w:color="2DB9FF" w:themeColor="accent2"/>
          <w:bottom w:val="single" w:sz="8" w:space="0" w:color="2DB9FF" w:themeColor="accent2"/>
          <w:right w:val="single" w:sz="8" w:space="0" w:color="2DB9FF" w:themeColor="accent2"/>
        </w:tcBorders>
      </w:tcPr>
    </w:tblStylePr>
  </w:style>
  <w:style w:type="table" w:styleId="Svtlstnovnzvraznn2">
    <w:name w:val="Light Shading Accent 2"/>
    <w:basedOn w:val="Normlntabulka"/>
    <w:uiPriority w:val="60"/>
    <w:rsid w:val="00CB7EAD"/>
    <w:pPr>
      <w:spacing w:after="0" w:line="240" w:lineRule="auto"/>
    </w:pPr>
    <w:rPr>
      <w:color w:val="0095E0" w:themeColor="accent2" w:themeShade="BF"/>
    </w:rPr>
    <w:tblPr>
      <w:tblStyleRowBandSize w:val="1"/>
      <w:tblStyleColBandSize w:val="1"/>
      <w:tblBorders>
        <w:top w:val="single" w:sz="8" w:space="0" w:color="2DB9FF" w:themeColor="accent2"/>
        <w:bottom w:val="single" w:sz="8" w:space="0" w:color="2DB9FF" w:themeColor="accent2"/>
      </w:tblBorders>
    </w:tblPr>
    <w:tblStylePr w:type="fir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lastRow">
      <w:pPr>
        <w:spacing w:before="0" w:after="0" w:line="240" w:lineRule="auto"/>
      </w:pPr>
      <w:rPr>
        <w:b/>
        <w:bCs/>
      </w:rPr>
      <w:tblPr/>
      <w:tcPr>
        <w:tcBorders>
          <w:top w:val="single" w:sz="8" w:space="0" w:color="2DB9FF" w:themeColor="accent2"/>
          <w:left w:val="nil"/>
          <w:bottom w:val="single" w:sz="8" w:space="0" w:color="2DB9F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EDFF" w:themeFill="accent2" w:themeFillTint="3F"/>
      </w:tcPr>
    </w:tblStylePr>
    <w:tblStylePr w:type="band1Horz">
      <w:tblPr/>
      <w:tcPr>
        <w:tcBorders>
          <w:left w:val="nil"/>
          <w:right w:val="nil"/>
          <w:insideH w:val="nil"/>
          <w:insideV w:val="nil"/>
        </w:tcBorders>
        <w:shd w:val="clear" w:color="auto" w:fill="CBEDFF" w:themeFill="accent2" w:themeFillTint="3F"/>
      </w:tcPr>
    </w:tblStylePr>
  </w:style>
  <w:style w:type="paragraph" w:styleId="Nzev">
    <w:name w:val="Title"/>
    <w:basedOn w:val="Normln"/>
    <w:next w:val="Normln"/>
    <w:link w:val="NzevChar"/>
    <w:uiPriority w:val="10"/>
    <w:qFormat/>
    <w:rsid w:val="00407719"/>
    <w:pPr>
      <w:keepNext/>
      <w:keepLines/>
      <w:autoSpaceDE w:val="0"/>
      <w:autoSpaceDN w:val="0"/>
      <w:adjustRightInd w:val="0"/>
      <w:spacing w:before="8880" w:after="240"/>
    </w:pPr>
    <w:rPr>
      <w:rFonts w:ascii="Segoe UI Semibold" w:eastAsiaTheme="majorEastAsia" w:hAnsi="Segoe UI Semibold" w:cs="Arial"/>
      <w:color w:val="002060"/>
      <w:sz w:val="36"/>
      <w:szCs w:val="24"/>
      <w:lang w:eastAsia="cs-CZ"/>
    </w:rPr>
  </w:style>
  <w:style w:type="character" w:customStyle="1" w:styleId="NzevChar">
    <w:name w:val="Název Char"/>
    <w:basedOn w:val="Standardnpsmoodstavce"/>
    <w:link w:val="Nzev"/>
    <w:uiPriority w:val="10"/>
    <w:rsid w:val="00447DCF"/>
    <w:rPr>
      <w:rFonts w:eastAsiaTheme="majorEastAsia" w:cs="Arial"/>
      <w:color w:val="002060"/>
      <w:sz w:val="36"/>
      <w:szCs w:val="24"/>
      <w:lang w:eastAsia="cs-CZ"/>
    </w:rPr>
  </w:style>
  <w:style w:type="paragraph" w:styleId="Podtitul">
    <w:name w:val="Subtitle"/>
    <w:basedOn w:val="Nadpisobsahu"/>
    <w:next w:val="Normln"/>
    <w:link w:val="PodtitulChar"/>
    <w:uiPriority w:val="11"/>
    <w:qFormat/>
    <w:rsid w:val="008700BC"/>
  </w:style>
  <w:style w:type="character" w:customStyle="1" w:styleId="PodtitulChar">
    <w:name w:val="Podtitul Char"/>
    <w:basedOn w:val="Standardnpsmoodstavce"/>
    <w:link w:val="Podtitul"/>
    <w:uiPriority w:val="11"/>
    <w:rsid w:val="008700BC"/>
    <w:rPr>
      <w:rFonts w:ascii="Segoe UI" w:eastAsiaTheme="majorEastAsia" w:hAnsi="Segoe UI" w:cs="Segoe UI"/>
      <w:bCs/>
      <w:color w:val="093D93" w:themeColor="accent1"/>
      <w:sz w:val="32"/>
      <w:szCs w:val="28"/>
      <w:lang w:eastAsia="cs-CZ"/>
    </w:rPr>
  </w:style>
  <w:style w:type="character" w:styleId="Siln">
    <w:name w:val="Strong"/>
    <w:basedOn w:val="Standardnpsmoodstavce"/>
    <w:uiPriority w:val="22"/>
    <w:rsid w:val="003906A2"/>
    <w:rPr>
      <w:b/>
      <w:bCs/>
    </w:rPr>
  </w:style>
  <w:style w:type="character" w:styleId="Zvraznn">
    <w:name w:val="Emphasis"/>
    <w:basedOn w:val="Standardnpsmoodstavce"/>
    <w:uiPriority w:val="20"/>
    <w:rsid w:val="003906A2"/>
    <w:rPr>
      <w:i/>
      <w:iCs/>
    </w:rPr>
  </w:style>
  <w:style w:type="paragraph" w:styleId="Bezmezer">
    <w:name w:val="No Spacing"/>
    <w:link w:val="BezmezerChar"/>
    <w:uiPriority w:val="1"/>
    <w:rsid w:val="003906A2"/>
    <w:pPr>
      <w:spacing w:after="0" w:line="240" w:lineRule="auto"/>
    </w:pPr>
  </w:style>
  <w:style w:type="character" w:customStyle="1" w:styleId="BezmezerChar">
    <w:name w:val="Bez mezer Char"/>
    <w:basedOn w:val="Standardnpsmoodstavce"/>
    <w:link w:val="Bezmezer"/>
    <w:uiPriority w:val="1"/>
    <w:rsid w:val="003906A2"/>
  </w:style>
  <w:style w:type="paragraph" w:styleId="Citt">
    <w:name w:val="Quote"/>
    <w:basedOn w:val="Normln"/>
    <w:next w:val="Normln"/>
    <w:link w:val="CittChar"/>
    <w:uiPriority w:val="29"/>
    <w:rsid w:val="003906A2"/>
    <w:rPr>
      <w:i/>
      <w:iCs/>
      <w:color w:val="0C0C0C" w:themeColor="text1"/>
    </w:rPr>
  </w:style>
  <w:style w:type="character" w:customStyle="1" w:styleId="CittChar">
    <w:name w:val="Citát Char"/>
    <w:basedOn w:val="Standardnpsmoodstavce"/>
    <w:link w:val="Citt"/>
    <w:uiPriority w:val="29"/>
    <w:rsid w:val="003906A2"/>
    <w:rPr>
      <w:i/>
      <w:iCs/>
      <w:color w:val="0C0C0C" w:themeColor="text1"/>
    </w:rPr>
  </w:style>
  <w:style w:type="paragraph" w:styleId="Vrazncitt">
    <w:name w:val="Intense Quote"/>
    <w:basedOn w:val="Normln"/>
    <w:next w:val="Normln"/>
    <w:link w:val="VrazncittChar"/>
    <w:uiPriority w:val="30"/>
    <w:rsid w:val="003906A2"/>
    <w:pPr>
      <w:pBdr>
        <w:bottom w:val="single" w:sz="4" w:space="4" w:color="093D93" w:themeColor="accent1"/>
      </w:pBdr>
      <w:spacing w:before="200" w:after="280"/>
      <w:ind w:left="936" w:right="936"/>
    </w:pPr>
    <w:rPr>
      <w:b/>
      <w:bCs/>
      <w:i/>
      <w:iCs/>
      <w:color w:val="093D93" w:themeColor="accent1"/>
    </w:rPr>
  </w:style>
  <w:style w:type="character" w:customStyle="1" w:styleId="VrazncittChar">
    <w:name w:val="Výrazný citát Char"/>
    <w:basedOn w:val="Standardnpsmoodstavce"/>
    <w:link w:val="Vrazncitt"/>
    <w:uiPriority w:val="30"/>
    <w:rsid w:val="003906A2"/>
    <w:rPr>
      <w:b/>
      <w:bCs/>
      <w:i/>
      <w:iCs/>
      <w:color w:val="093D93" w:themeColor="accent1"/>
    </w:rPr>
  </w:style>
  <w:style w:type="character" w:styleId="Zdraznnjemn">
    <w:name w:val="Subtle Emphasis"/>
    <w:basedOn w:val="Standardnpsmoodstavce"/>
    <w:uiPriority w:val="19"/>
    <w:rsid w:val="003906A2"/>
    <w:rPr>
      <w:i/>
      <w:iCs/>
      <w:color w:val="858585" w:themeColor="text1" w:themeTint="7F"/>
    </w:rPr>
  </w:style>
  <w:style w:type="character" w:styleId="Zdraznnintenzivn">
    <w:name w:val="Intense Emphasis"/>
    <w:basedOn w:val="Standardnpsmoodstavce"/>
    <w:uiPriority w:val="21"/>
    <w:rsid w:val="003906A2"/>
    <w:rPr>
      <w:b/>
      <w:bCs/>
      <w:i/>
      <w:iCs/>
      <w:color w:val="093D93" w:themeColor="accent1"/>
    </w:rPr>
  </w:style>
  <w:style w:type="character" w:styleId="Odkazjemn">
    <w:name w:val="Subtle Reference"/>
    <w:basedOn w:val="Standardnpsmoodstavce"/>
    <w:uiPriority w:val="31"/>
    <w:rsid w:val="003906A2"/>
    <w:rPr>
      <w:smallCaps/>
      <w:color w:val="2DB9FF" w:themeColor="accent2"/>
      <w:u w:val="single"/>
    </w:rPr>
  </w:style>
  <w:style w:type="character" w:styleId="Odkazintenzivn">
    <w:name w:val="Intense Reference"/>
    <w:aliases w:val="Odkaz"/>
    <w:basedOn w:val="Standardnpsmoodstavce"/>
    <w:uiPriority w:val="32"/>
    <w:qFormat/>
    <w:rsid w:val="008700BC"/>
    <w:rPr>
      <w:b w:val="0"/>
      <w:bCs/>
      <w:smallCaps/>
      <w:color w:val="2DB9FF" w:themeColor="accent2"/>
      <w:spacing w:val="5"/>
      <w:u w:val="single"/>
    </w:rPr>
  </w:style>
  <w:style w:type="table" w:styleId="Barevnseznamzvraznn2">
    <w:name w:val="Colorful List Accent 2"/>
    <w:basedOn w:val="Normlntabulka"/>
    <w:uiPriority w:val="72"/>
    <w:rsid w:val="003906A2"/>
    <w:pPr>
      <w:spacing w:after="0" w:line="240" w:lineRule="auto"/>
    </w:pPr>
    <w:rPr>
      <w:color w:val="0C0C0C" w:themeColor="text1"/>
    </w:rPr>
    <w:tblPr>
      <w:tblStyleRowBandSize w:val="1"/>
      <w:tblStyleColBandSize w:val="1"/>
    </w:tblPr>
    <w:tcPr>
      <w:shd w:val="clear" w:color="auto" w:fill="EAF8FF" w:themeFill="accent2"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EDFF" w:themeFill="accent2" w:themeFillTint="3F"/>
      </w:tcPr>
    </w:tblStylePr>
    <w:tblStylePr w:type="band1Horz">
      <w:tblPr/>
      <w:tcPr>
        <w:shd w:val="clear" w:color="auto" w:fill="D5F1FF" w:themeFill="accent2" w:themeFillTint="33"/>
      </w:tcPr>
    </w:tblStylePr>
  </w:style>
  <w:style w:type="table" w:styleId="Barevnseznam">
    <w:name w:val="Colorful List"/>
    <w:basedOn w:val="Normlntabulka"/>
    <w:uiPriority w:val="72"/>
    <w:rsid w:val="003906A2"/>
    <w:pPr>
      <w:spacing w:after="0" w:line="240" w:lineRule="auto"/>
    </w:pPr>
    <w:rPr>
      <w:color w:val="0C0C0C" w:themeColor="text1"/>
    </w:rPr>
    <w:tblPr>
      <w:tblStyleRowBandSize w:val="1"/>
      <w:tblStyleColBandSize w:val="1"/>
    </w:tblPr>
    <w:tcPr>
      <w:shd w:val="clear" w:color="auto" w:fill="E7E7E7" w:themeFill="text1" w:themeFillTint="19"/>
    </w:tcPr>
    <w:tblStylePr w:type="firstRow">
      <w:rPr>
        <w:b/>
        <w:bCs/>
        <w:color w:val="FFFFFF" w:themeColor="background1"/>
      </w:rPr>
      <w:tblPr/>
      <w:tcPr>
        <w:tcBorders>
          <w:bottom w:val="single" w:sz="12" w:space="0" w:color="FFFFFF" w:themeColor="background1"/>
        </w:tcBorders>
        <w:shd w:val="clear" w:color="auto" w:fill="00A0F0" w:themeFill="accent2" w:themeFillShade="CC"/>
      </w:tcPr>
    </w:tblStylePr>
    <w:tblStylePr w:type="lastRow">
      <w:rPr>
        <w:b/>
        <w:bCs/>
        <w:color w:val="00A0F0" w:themeColor="accent2"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2C2C2" w:themeFill="text1" w:themeFillTint="3F"/>
      </w:tcPr>
    </w:tblStylePr>
    <w:tblStylePr w:type="band1Horz">
      <w:tblPr/>
      <w:tcPr>
        <w:shd w:val="clear" w:color="auto" w:fill="CECECE" w:themeFill="text1" w:themeFillTint="33"/>
      </w:tcPr>
    </w:tblStylePr>
  </w:style>
  <w:style w:type="paragraph" w:customStyle="1" w:styleId="Tabulka">
    <w:name w:val="Tabulka"/>
    <w:basedOn w:val="Normln"/>
    <w:qFormat/>
    <w:rsid w:val="009D4C3D"/>
    <w:pPr>
      <w:keepLines/>
      <w:spacing w:before="100" w:beforeAutospacing="1" w:after="100" w:afterAutospacing="1" w:line="240" w:lineRule="auto"/>
      <w:ind w:left="113" w:right="113"/>
      <w:jc w:val="left"/>
    </w:pPr>
    <w:rPr>
      <w:rFonts w:eastAsia="Times New Roman"/>
      <w:sz w:val="16"/>
      <w:szCs w:val="16"/>
      <w:lang w:val="en-US" w:eastAsia="cs-CZ"/>
    </w:rPr>
  </w:style>
  <w:style w:type="paragraph" w:customStyle="1" w:styleId="Tituleksrou">
    <w:name w:val="Titulek s čárou"/>
    <w:basedOn w:val="Titulek"/>
    <w:qFormat/>
    <w:rsid w:val="004840A9"/>
    <w:pPr>
      <w:keepNext/>
      <w:pBdr>
        <w:top w:val="single" w:sz="24" w:space="1" w:color="E6E6E6" w:themeColor="text1" w:themeTint="1A"/>
      </w:pBdr>
    </w:pPr>
    <w:rPr>
      <w:sz w:val="20"/>
    </w:rPr>
  </w:style>
  <w:style w:type="paragraph" w:customStyle="1" w:styleId="Dleitodstavec">
    <w:name w:val="Důležitý odstavec"/>
    <w:basedOn w:val="Normln"/>
    <w:rsid w:val="00FF0221"/>
    <w:pPr>
      <w:spacing w:after="0" w:line="240" w:lineRule="auto"/>
    </w:pPr>
  </w:style>
  <w:style w:type="table" w:styleId="Barevnseznamzvraznn4">
    <w:name w:val="Colorful List Accent 4"/>
    <w:basedOn w:val="Normlntabulka"/>
    <w:uiPriority w:val="72"/>
    <w:rsid w:val="00FF0221"/>
    <w:pPr>
      <w:spacing w:after="0" w:line="240" w:lineRule="auto"/>
    </w:pPr>
    <w:rPr>
      <w:color w:val="0C0C0C" w:themeColor="text1"/>
    </w:rPr>
    <w:tblPr>
      <w:tblStyleRowBandSize w:val="1"/>
      <w:tblStyleColBandSize w:val="1"/>
    </w:tblPr>
    <w:tcPr>
      <w:shd w:val="clear" w:color="auto" w:fill="FFF3EB" w:themeFill="accent4" w:themeFillTint="19"/>
    </w:tcPr>
    <w:tblStylePr w:type="firstRow">
      <w:rPr>
        <w:b/>
        <w:bCs/>
        <w:color w:val="FFFFFF" w:themeColor="background1"/>
      </w:rPr>
      <w:tblPr/>
      <w:tcPr>
        <w:tcBorders>
          <w:bottom w:val="single" w:sz="12" w:space="0" w:color="FFFFFF" w:themeColor="background1"/>
        </w:tcBorders>
        <w:shd w:val="clear" w:color="auto" w:fill="FEEB00" w:themeFill="accent3" w:themeFillShade="CC"/>
      </w:tcPr>
    </w:tblStylePr>
    <w:tblStylePr w:type="lastRow">
      <w:rPr>
        <w:b/>
        <w:bCs/>
        <w:color w:val="FEEB00" w:themeColor="accent3" w:themeShade="CC"/>
      </w:rPr>
      <w:tblPr/>
      <w:tcPr>
        <w:tcBorders>
          <w:top w:val="single" w:sz="12" w:space="0" w:color="0C0C0C"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EE3CE" w:themeFill="accent4" w:themeFillTint="3F"/>
      </w:tcPr>
    </w:tblStylePr>
    <w:tblStylePr w:type="band1Horz">
      <w:tblPr/>
      <w:tcPr>
        <w:shd w:val="clear" w:color="auto" w:fill="FEE8D7" w:themeFill="accent4" w:themeFillTint="33"/>
      </w:tcPr>
    </w:tblStylePr>
  </w:style>
  <w:style w:type="table" w:customStyle="1" w:styleId="Dleitinformace">
    <w:name w:val="Důležitá informace"/>
    <w:basedOn w:val="Normlntabulka"/>
    <w:uiPriority w:val="99"/>
    <w:rsid w:val="00F47005"/>
    <w:pPr>
      <w:spacing w:before="60" w:after="60" w:line="240" w:lineRule="auto"/>
      <w:ind w:left="170" w:right="170"/>
    </w:pPr>
    <w:rPr>
      <w:rFonts w:ascii="Arial" w:hAnsi="Arial"/>
    </w:rPr>
    <w:tblPr>
      <w:tblBorders>
        <w:left w:val="single" w:sz="24" w:space="0" w:color="2DB9FF" w:themeColor="accent2"/>
      </w:tblBorders>
      <w:tblCellMar>
        <w:top w:w="113" w:type="dxa"/>
        <w:bottom w:w="113" w:type="dxa"/>
      </w:tblCellMar>
    </w:tblPr>
    <w:tcPr>
      <w:shd w:val="clear" w:color="auto" w:fill="F2F2F2" w:themeFill="background1" w:themeFillShade="F2"/>
    </w:tcPr>
  </w:style>
  <w:style w:type="table" w:customStyle="1" w:styleId="Tabulka47">
    <w:name w:val="Tabulka 47"/>
    <w:basedOn w:val="Normlntabulka"/>
    <w:uiPriority w:val="99"/>
    <w:rsid w:val="00027596"/>
    <w:pPr>
      <w:spacing w:before="100" w:beforeAutospacing="1" w:after="100" w:afterAutospacing="1" w:line="240" w:lineRule="auto"/>
      <w:ind w:left="57" w:right="57"/>
    </w:pPr>
    <w:rPr>
      <w:rFonts w:asciiTheme="minorHAnsi" w:hAnsiTheme="minorHAnsi"/>
      <w:sz w:val="16"/>
    </w:rPr>
    <w:tblPr>
      <w:tblStyleRowBandSize w:val="1"/>
      <w:tblStyleColBandSize w:val="1"/>
      <w:tblBorders>
        <w:bottom w:val="single" w:sz="24" w:space="0" w:color="2DB9FF" w:themeColor="accent2"/>
      </w:tblBorders>
    </w:tblPr>
    <w:tcPr>
      <w:vAlign w:val="center"/>
    </w:tcPr>
    <w:tblStylePr w:type="firstRow">
      <w:pPr>
        <w:wordWrap/>
        <w:spacing w:beforeLines="0" w:before="120" w:beforeAutospacing="0" w:afterLines="0" w:after="180" w:afterAutospacing="0"/>
        <w:contextualSpacing/>
        <w:mirrorIndents w:val="0"/>
        <w:jc w:val="left"/>
      </w:pPr>
      <w:rPr>
        <w:b/>
        <w:color w:val="FFFFFF" w:themeColor="background1"/>
        <w:sz w:val="16"/>
      </w:rPr>
      <w:tblPr/>
      <w:tcPr>
        <w:tcBorders>
          <w:top w:val="nil"/>
          <w:left w:val="nil"/>
          <w:bottom w:val="nil"/>
          <w:right w:val="nil"/>
          <w:insideH w:val="nil"/>
          <w:insideV w:val="nil"/>
          <w:tl2br w:val="nil"/>
          <w:tr2bl w:val="nil"/>
        </w:tcBorders>
        <w:shd w:val="clear" w:color="auto" w:fill="2DB9FF" w:themeFill="accent2"/>
      </w:tcPr>
    </w:tblStylePr>
    <w:tblStylePr w:type="lastRow">
      <w:rPr>
        <w:b/>
      </w:rPr>
      <w:tblPr/>
      <w:tcPr>
        <w:tcBorders>
          <w:top w:val="single" w:sz="24" w:space="0" w:color="2DB9FF" w:themeColor="accent2"/>
          <w:left w:val="nil"/>
          <w:bottom w:val="single" w:sz="24" w:space="0" w:color="2DB9FF" w:themeColor="accent2"/>
          <w:right w:val="nil"/>
          <w:insideH w:val="nil"/>
          <w:insideV w:val="nil"/>
          <w:tl2br w:val="nil"/>
          <w:tr2bl w:val="nil"/>
        </w:tcBorders>
        <w:shd w:val="clear" w:color="auto" w:fill="D5F1FF" w:themeFill="accent2" w:themeFillTint="33"/>
      </w:tcPr>
    </w:tblStylePr>
    <w:tblStylePr w:type="firstCol">
      <w:rPr>
        <w:b/>
        <w:color w:val="0C0C0C" w:themeColor="text1"/>
      </w:rPr>
      <w:tblPr/>
      <w:tcPr>
        <w:tcBorders>
          <w:right w:val="single" w:sz="8" w:space="0" w:color="DDDDDD" w:themeColor="text2" w:themeTint="33"/>
        </w:tcBorders>
        <w:shd w:val="clear" w:color="auto" w:fill="D5F1FF" w:themeFill="accent2" w:themeFillTint="33"/>
      </w:tcPr>
    </w:tblStylePr>
    <w:tblStylePr w:type="lastCol">
      <w:tblPr/>
      <w:tcPr>
        <w:tcBorders>
          <w:left w:val="single" w:sz="8" w:space="0" w:color="E6E6E6" w:themeColor="text1" w:themeTint="1A"/>
        </w:tcBorders>
        <w:shd w:val="clear" w:color="auto" w:fill="D5F1FF" w:themeFill="accent2" w:themeFillTint="33"/>
      </w:tcPr>
    </w:tblStylePr>
    <w:tblStylePr w:type="band1Vert">
      <w:tblPr/>
      <w:tcPr>
        <w:tcBorders>
          <w:top w:val="nil"/>
          <w:left w:val="nil"/>
          <w:bottom w:val="single" w:sz="24" w:space="0" w:color="2DB9FF" w:themeColor="accent2"/>
          <w:right w:val="nil"/>
          <w:insideH w:val="nil"/>
          <w:insideV w:val="nil"/>
          <w:tl2br w:val="nil"/>
          <w:tr2bl w:val="nil"/>
        </w:tcBorders>
        <w:shd w:val="clear" w:color="auto" w:fill="F2F2F2" w:themeFill="background2" w:themeFillShade="F2"/>
      </w:tcPr>
    </w:tblStylePr>
    <w:tblStylePr w:type="band1Horz">
      <w:rPr>
        <w:color w:val="auto"/>
      </w:rPr>
      <w:tblPr/>
      <w:tcPr>
        <w:shd w:val="clear" w:color="auto" w:fill="F2F2F2" w:themeFill="background1" w:themeFillShade="F2"/>
      </w:tcPr>
    </w:tblStylePr>
  </w:style>
  <w:style w:type="paragraph" w:styleId="Rejstk1">
    <w:name w:val="index 1"/>
    <w:basedOn w:val="Normln"/>
    <w:next w:val="Normln"/>
    <w:autoRedefine/>
    <w:uiPriority w:val="99"/>
    <w:unhideWhenUsed/>
    <w:rsid w:val="00D939CD"/>
    <w:pPr>
      <w:spacing w:after="0"/>
      <w:ind w:left="200" w:hanging="200"/>
      <w:jc w:val="left"/>
    </w:pPr>
    <w:rPr>
      <w:sz w:val="18"/>
      <w:szCs w:val="18"/>
    </w:rPr>
  </w:style>
  <w:style w:type="paragraph" w:styleId="Rejstk2">
    <w:name w:val="index 2"/>
    <w:basedOn w:val="Normln"/>
    <w:next w:val="Normln"/>
    <w:autoRedefine/>
    <w:uiPriority w:val="99"/>
    <w:unhideWhenUsed/>
    <w:rsid w:val="00D939CD"/>
    <w:pPr>
      <w:spacing w:after="0"/>
      <w:ind w:left="400" w:hanging="200"/>
      <w:jc w:val="left"/>
    </w:pPr>
    <w:rPr>
      <w:sz w:val="18"/>
      <w:szCs w:val="18"/>
    </w:rPr>
  </w:style>
  <w:style w:type="paragraph" w:styleId="Rejstk3">
    <w:name w:val="index 3"/>
    <w:basedOn w:val="Normln"/>
    <w:next w:val="Normln"/>
    <w:autoRedefine/>
    <w:uiPriority w:val="99"/>
    <w:unhideWhenUsed/>
    <w:rsid w:val="00D939CD"/>
    <w:pPr>
      <w:spacing w:after="0"/>
      <w:ind w:left="600" w:hanging="200"/>
      <w:jc w:val="left"/>
    </w:pPr>
    <w:rPr>
      <w:sz w:val="18"/>
      <w:szCs w:val="18"/>
    </w:rPr>
  </w:style>
  <w:style w:type="paragraph" w:styleId="Rejstk4">
    <w:name w:val="index 4"/>
    <w:basedOn w:val="Normln"/>
    <w:next w:val="Normln"/>
    <w:autoRedefine/>
    <w:uiPriority w:val="99"/>
    <w:unhideWhenUsed/>
    <w:rsid w:val="00D939CD"/>
    <w:pPr>
      <w:spacing w:after="0"/>
      <w:ind w:left="800" w:hanging="200"/>
      <w:jc w:val="left"/>
    </w:pPr>
    <w:rPr>
      <w:sz w:val="18"/>
      <w:szCs w:val="18"/>
    </w:rPr>
  </w:style>
  <w:style w:type="paragraph" w:styleId="Rejstk5">
    <w:name w:val="index 5"/>
    <w:basedOn w:val="Normln"/>
    <w:next w:val="Normln"/>
    <w:autoRedefine/>
    <w:uiPriority w:val="99"/>
    <w:unhideWhenUsed/>
    <w:rsid w:val="00D939CD"/>
    <w:pPr>
      <w:spacing w:after="0"/>
      <w:ind w:left="1000" w:hanging="200"/>
      <w:jc w:val="left"/>
    </w:pPr>
    <w:rPr>
      <w:sz w:val="18"/>
      <w:szCs w:val="18"/>
    </w:rPr>
  </w:style>
  <w:style w:type="paragraph" w:styleId="Rejstk6">
    <w:name w:val="index 6"/>
    <w:basedOn w:val="Normln"/>
    <w:next w:val="Normln"/>
    <w:autoRedefine/>
    <w:uiPriority w:val="99"/>
    <w:unhideWhenUsed/>
    <w:rsid w:val="00D939CD"/>
    <w:pPr>
      <w:spacing w:after="0"/>
      <w:ind w:left="1200" w:hanging="200"/>
      <w:jc w:val="left"/>
    </w:pPr>
    <w:rPr>
      <w:sz w:val="18"/>
      <w:szCs w:val="18"/>
    </w:rPr>
  </w:style>
  <w:style w:type="paragraph" w:styleId="Rejstk7">
    <w:name w:val="index 7"/>
    <w:basedOn w:val="Normln"/>
    <w:next w:val="Normln"/>
    <w:autoRedefine/>
    <w:uiPriority w:val="99"/>
    <w:unhideWhenUsed/>
    <w:rsid w:val="00D939CD"/>
    <w:pPr>
      <w:spacing w:after="0"/>
      <w:ind w:left="1400" w:hanging="200"/>
      <w:jc w:val="left"/>
    </w:pPr>
    <w:rPr>
      <w:sz w:val="18"/>
      <w:szCs w:val="18"/>
    </w:rPr>
  </w:style>
  <w:style w:type="paragraph" w:styleId="Rejstk8">
    <w:name w:val="index 8"/>
    <w:basedOn w:val="Normln"/>
    <w:next w:val="Normln"/>
    <w:autoRedefine/>
    <w:uiPriority w:val="99"/>
    <w:unhideWhenUsed/>
    <w:rsid w:val="00D939CD"/>
    <w:pPr>
      <w:spacing w:after="0"/>
      <w:ind w:left="1600" w:hanging="200"/>
      <w:jc w:val="left"/>
    </w:pPr>
    <w:rPr>
      <w:sz w:val="18"/>
      <w:szCs w:val="18"/>
    </w:rPr>
  </w:style>
  <w:style w:type="paragraph" w:styleId="Rejstk9">
    <w:name w:val="index 9"/>
    <w:basedOn w:val="Normln"/>
    <w:next w:val="Normln"/>
    <w:autoRedefine/>
    <w:uiPriority w:val="99"/>
    <w:unhideWhenUsed/>
    <w:rsid w:val="00D939CD"/>
    <w:pPr>
      <w:spacing w:after="0"/>
      <w:ind w:left="1800" w:hanging="200"/>
      <w:jc w:val="left"/>
    </w:pPr>
    <w:rPr>
      <w:sz w:val="18"/>
      <w:szCs w:val="18"/>
    </w:rPr>
  </w:style>
  <w:style w:type="paragraph" w:styleId="Hlavikarejstku">
    <w:name w:val="index heading"/>
    <w:basedOn w:val="Normln"/>
    <w:next w:val="Rejstk1"/>
    <w:uiPriority w:val="99"/>
    <w:unhideWhenUsed/>
    <w:rsid w:val="00D939CD"/>
    <w:pPr>
      <w:spacing w:before="240"/>
      <w:ind w:left="140"/>
      <w:jc w:val="left"/>
    </w:pPr>
    <w:rPr>
      <w:rFonts w:asciiTheme="majorHAnsi" w:hAnsiTheme="majorHAnsi"/>
      <w:b/>
      <w:bCs/>
      <w:sz w:val="28"/>
      <w:szCs w:val="28"/>
    </w:rPr>
  </w:style>
  <w:style w:type="paragraph" w:styleId="Textvysvtlivek">
    <w:name w:val="endnote text"/>
    <w:basedOn w:val="Normln"/>
    <w:link w:val="TextvysvtlivekChar"/>
    <w:uiPriority w:val="99"/>
    <w:semiHidden/>
    <w:unhideWhenUsed/>
    <w:rsid w:val="00DB2562"/>
    <w:pPr>
      <w:spacing w:after="0" w:line="240" w:lineRule="auto"/>
    </w:pPr>
  </w:style>
  <w:style w:type="character" w:customStyle="1" w:styleId="TextvysvtlivekChar">
    <w:name w:val="Text vysvětlivek Char"/>
    <w:basedOn w:val="Standardnpsmoodstavce"/>
    <w:link w:val="Textvysvtlivek"/>
    <w:uiPriority w:val="99"/>
    <w:semiHidden/>
    <w:rsid w:val="00DB2562"/>
    <w:rPr>
      <w:rFonts w:asciiTheme="minorHAnsi" w:hAnsiTheme="minorHAnsi"/>
    </w:rPr>
  </w:style>
  <w:style w:type="character" w:styleId="Odkaznavysvtlivky">
    <w:name w:val="endnote reference"/>
    <w:basedOn w:val="Standardnpsmoodstavce"/>
    <w:uiPriority w:val="99"/>
    <w:semiHidden/>
    <w:unhideWhenUsed/>
    <w:rsid w:val="00DB2562"/>
    <w:rPr>
      <w:vertAlign w:val="superscript"/>
    </w:rPr>
  </w:style>
  <w:style w:type="character" w:styleId="Sledovanodkaz">
    <w:name w:val="FollowedHyperlink"/>
    <w:basedOn w:val="Standardnpsmoodstavce"/>
    <w:uiPriority w:val="99"/>
    <w:semiHidden/>
    <w:unhideWhenUsed/>
    <w:rsid w:val="001F4DEE"/>
    <w:rPr>
      <w:color w:val="A5A5A5"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63">
      <w:bodyDiv w:val="1"/>
      <w:marLeft w:val="0"/>
      <w:marRight w:val="0"/>
      <w:marTop w:val="0"/>
      <w:marBottom w:val="0"/>
      <w:divBdr>
        <w:top w:val="none" w:sz="0" w:space="0" w:color="auto"/>
        <w:left w:val="none" w:sz="0" w:space="0" w:color="auto"/>
        <w:bottom w:val="none" w:sz="0" w:space="0" w:color="auto"/>
        <w:right w:val="none" w:sz="0" w:space="0" w:color="auto"/>
      </w:divBdr>
    </w:div>
    <w:div w:id="8215074">
      <w:bodyDiv w:val="1"/>
      <w:marLeft w:val="0"/>
      <w:marRight w:val="0"/>
      <w:marTop w:val="0"/>
      <w:marBottom w:val="0"/>
      <w:divBdr>
        <w:top w:val="none" w:sz="0" w:space="0" w:color="auto"/>
        <w:left w:val="none" w:sz="0" w:space="0" w:color="auto"/>
        <w:bottom w:val="none" w:sz="0" w:space="0" w:color="auto"/>
        <w:right w:val="none" w:sz="0" w:space="0" w:color="auto"/>
      </w:divBdr>
    </w:div>
    <w:div w:id="11033070">
      <w:bodyDiv w:val="1"/>
      <w:marLeft w:val="0"/>
      <w:marRight w:val="0"/>
      <w:marTop w:val="0"/>
      <w:marBottom w:val="0"/>
      <w:divBdr>
        <w:top w:val="none" w:sz="0" w:space="0" w:color="auto"/>
        <w:left w:val="none" w:sz="0" w:space="0" w:color="auto"/>
        <w:bottom w:val="none" w:sz="0" w:space="0" w:color="auto"/>
        <w:right w:val="none" w:sz="0" w:space="0" w:color="auto"/>
      </w:divBdr>
    </w:div>
    <w:div w:id="16007904">
      <w:bodyDiv w:val="1"/>
      <w:marLeft w:val="0"/>
      <w:marRight w:val="0"/>
      <w:marTop w:val="0"/>
      <w:marBottom w:val="0"/>
      <w:divBdr>
        <w:top w:val="none" w:sz="0" w:space="0" w:color="auto"/>
        <w:left w:val="none" w:sz="0" w:space="0" w:color="auto"/>
        <w:bottom w:val="none" w:sz="0" w:space="0" w:color="auto"/>
        <w:right w:val="none" w:sz="0" w:space="0" w:color="auto"/>
      </w:divBdr>
    </w:div>
    <w:div w:id="16081070">
      <w:bodyDiv w:val="1"/>
      <w:marLeft w:val="0"/>
      <w:marRight w:val="0"/>
      <w:marTop w:val="0"/>
      <w:marBottom w:val="0"/>
      <w:divBdr>
        <w:top w:val="none" w:sz="0" w:space="0" w:color="auto"/>
        <w:left w:val="none" w:sz="0" w:space="0" w:color="auto"/>
        <w:bottom w:val="none" w:sz="0" w:space="0" w:color="auto"/>
        <w:right w:val="none" w:sz="0" w:space="0" w:color="auto"/>
      </w:divBdr>
    </w:div>
    <w:div w:id="17658062">
      <w:bodyDiv w:val="1"/>
      <w:marLeft w:val="0"/>
      <w:marRight w:val="0"/>
      <w:marTop w:val="0"/>
      <w:marBottom w:val="0"/>
      <w:divBdr>
        <w:top w:val="none" w:sz="0" w:space="0" w:color="auto"/>
        <w:left w:val="none" w:sz="0" w:space="0" w:color="auto"/>
        <w:bottom w:val="none" w:sz="0" w:space="0" w:color="auto"/>
        <w:right w:val="none" w:sz="0" w:space="0" w:color="auto"/>
      </w:divBdr>
    </w:div>
    <w:div w:id="17895531">
      <w:bodyDiv w:val="1"/>
      <w:marLeft w:val="0"/>
      <w:marRight w:val="0"/>
      <w:marTop w:val="0"/>
      <w:marBottom w:val="0"/>
      <w:divBdr>
        <w:top w:val="none" w:sz="0" w:space="0" w:color="auto"/>
        <w:left w:val="none" w:sz="0" w:space="0" w:color="auto"/>
        <w:bottom w:val="none" w:sz="0" w:space="0" w:color="auto"/>
        <w:right w:val="none" w:sz="0" w:space="0" w:color="auto"/>
      </w:divBdr>
    </w:div>
    <w:div w:id="32509939">
      <w:bodyDiv w:val="1"/>
      <w:marLeft w:val="0"/>
      <w:marRight w:val="0"/>
      <w:marTop w:val="0"/>
      <w:marBottom w:val="0"/>
      <w:divBdr>
        <w:top w:val="none" w:sz="0" w:space="0" w:color="auto"/>
        <w:left w:val="none" w:sz="0" w:space="0" w:color="auto"/>
        <w:bottom w:val="none" w:sz="0" w:space="0" w:color="auto"/>
        <w:right w:val="none" w:sz="0" w:space="0" w:color="auto"/>
      </w:divBdr>
    </w:div>
    <w:div w:id="42487980">
      <w:bodyDiv w:val="1"/>
      <w:marLeft w:val="0"/>
      <w:marRight w:val="0"/>
      <w:marTop w:val="0"/>
      <w:marBottom w:val="0"/>
      <w:divBdr>
        <w:top w:val="none" w:sz="0" w:space="0" w:color="auto"/>
        <w:left w:val="none" w:sz="0" w:space="0" w:color="auto"/>
        <w:bottom w:val="none" w:sz="0" w:space="0" w:color="auto"/>
        <w:right w:val="none" w:sz="0" w:space="0" w:color="auto"/>
      </w:divBdr>
    </w:div>
    <w:div w:id="48070605">
      <w:bodyDiv w:val="1"/>
      <w:marLeft w:val="0"/>
      <w:marRight w:val="0"/>
      <w:marTop w:val="0"/>
      <w:marBottom w:val="0"/>
      <w:divBdr>
        <w:top w:val="none" w:sz="0" w:space="0" w:color="auto"/>
        <w:left w:val="none" w:sz="0" w:space="0" w:color="auto"/>
        <w:bottom w:val="none" w:sz="0" w:space="0" w:color="auto"/>
        <w:right w:val="none" w:sz="0" w:space="0" w:color="auto"/>
      </w:divBdr>
    </w:div>
    <w:div w:id="94638917">
      <w:bodyDiv w:val="1"/>
      <w:marLeft w:val="0"/>
      <w:marRight w:val="0"/>
      <w:marTop w:val="0"/>
      <w:marBottom w:val="0"/>
      <w:divBdr>
        <w:top w:val="none" w:sz="0" w:space="0" w:color="auto"/>
        <w:left w:val="none" w:sz="0" w:space="0" w:color="auto"/>
        <w:bottom w:val="none" w:sz="0" w:space="0" w:color="auto"/>
        <w:right w:val="none" w:sz="0" w:space="0" w:color="auto"/>
      </w:divBdr>
    </w:div>
    <w:div w:id="98839793">
      <w:bodyDiv w:val="1"/>
      <w:marLeft w:val="0"/>
      <w:marRight w:val="0"/>
      <w:marTop w:val="0"/>
      <w:marBottom w:val="0"/>
      <w:divBdr>
        <w:top w:val="none" w:sz="0" w:space="0" w:color="auto"/>
        <w:left w:val="none" w:sz="0" w:space="0" w:color="auto"/>
        <w:bottom w:val="none" w:sz="0" w:space="0" w:color="auto"/>
        <w:right w:val="none" w:sz="0" w:space="0" w:color="auto"/>
      </w:divBdr>
    </w:div>
    <w:div w:id="114719467">
      <w:bodyDiv w:val="1"/>
      <w:marLeft w:val="0"/>
      <w:marRight w:val="0"/>
      <w:marTop w:val="0"/>
      <w:marBottom w:val="0"/>
      <w:divBdr>
        <w:top w:val="none" w:sz="0" w:space="0" w:color="auto"/>
        <w:left w:val="none" w:sz="0" w:space="0" w:color="auto"/>
        <w:bottom w:val="none" w:sz="0" w:space="0" w:color="auto"/>
        <w:right w:val="none" w:sz="0" w:space="0" w:color="auto"/>
      </w:divBdr>
    </w:div>
    <w:div w:id="117991731">
      <w:bodyDiv w:val="1"/>
      <w:marLeft w:val="0"/>
      <w:marRight w:val="0"/>
      <w:marTop w:val="0"/>
      <w:marBottom w:val="0"/>
      <w:divBdr>
        <w:top w:val="none" w:sz="0" w:space="0" w:color="auto"/>
        <w:left w:val="none" w:sz="0" w:space="0" w:color="auto"/>
        <w:bottom w:val="none" w:sz="0" w:space="0" w:color="auto"/>
        <w:right w:val="none" w:sz="0" w:space="0" w:color="auto"/>
      </w:divBdr>
    </w:div>
    <w:div w:id="122162138">
      <w:bodyDiv w:val="1"/>
      <w:marLeft w:val="0"/>
      <w:marRight w:val="0"/>
      <w:marTop w:val="0"/>
      <w:marBottom w:val="0"/>
      <w:divBdr>
        <w:top w:val="none" w:sz="0" w:space="0" w:color="auto"/>
        <w:left w:val="none" w:sz="0" w:space="0" w:color="auto"/>
        <w:bottom w:val="none" w:sz="0" w:space="0" w:color="auto"/>
        <w:right w:val="none" w:sz="0" w:space="0" w:color="auto"/>
      </w:divBdr>
    </w:div>
    <w:div w:id="156963886">
      <w:bodyDiv w:val="1"/>
      <w:marLeft w:val="0"/>
      <w:marRight w:val="0"/>
      <w:marTop w:val="0"/>
      <w:marBottom w:val="0"/>
      <w:divBdr>
        <w:top w:val="none" w:sz="0" w:space="0" w:color="auto"/>
        <w:left w:val="none" w:sz="0" w:space="0" w:color="auto"/>
        <w:bottom w:val="none" w:sz="0" w:space="0" w:color="auto"/>
        <w:right w:val="none" w:sz="0" w:space="0" w:color="auto"/>
      </w:divBdr>
    </w:div>
    <w:div w:id="157424199">
      <w:bodyDiv w:val="1"/>
      <w:marLeft w:val="0"/>
      <w:marRight w:val="0"/>
      <w:marTop w:val="0"/>
      <w:marBottom w:val="0"/>
      <w:divBdr>
        <w:top w:val="none" w:sz="0" w:space="0" w:color="auto"/>
        <w:left w:val="none" w:sz="0" w:space="0" w:color="auto"/>
        <w:bottom w:val="none" w:sz="0" w:space="0" w:color="auto"/>
        <w:right w:val="none" w:sz="0" w:space="0" w:color="auto"/>
      </w:divBdr>
    </w:div>
    <w:div w:id="167524176">
      <w:bodyDiv w:val="1"/>
      <w:marLeft w:val="0"/>
      <w:marRight w:val="0"/>
      <w:marTop w:val="0"/>
      <w:marBottom w:val="0"/>
      <w:divBdr>
        <w:top w:val="none" w:sz="0" w:space="0" w:color="auto"/>
        <w:left w:val="none" w:sz="0" w:space="0" w:color="auto"/>
        <w:bottom w:val="none" w:sz="0" w:space="0" w:color="auto"/>
        <w:right w:val="none" w:sz="0" w:space="0" w:color="auto"/>
      </w:divBdr>
    </w:div>
    <w:div w:id="170678489">
      <w:bodyDiv w:val="1"/>
      <w:marLeft w:val="0"/>
      <w:marRight w:val="0"/>
      <w:marTop w:val="0"/>
      <w:marBottom w:val="0"/>
      <w:divBdr>
        <w:top w:val="none" w:sz="0" w:space="0" w:color="auto"/>
        <w:left w:val="none" w:sz="0" w:space="0" w:color="auto"/>
        <w:bottom w:val="none" w:sz="0" w:space="0" w:color="auto"/>
        <w:right w:val="none" w:sz="0" w:space="0" w:color="auto"/>
      </w:divBdr>
    </w:div>
    <w:div w:id="171722131">
      <w:bodyDiv w:val="1"/>
      <w:marLeft w:val="0"/>
      <w:marRight w:val="0"/>
      <w:marTop w:val="0"/>
      <w:marBottom w:val="0"/>
      <w:divBdr>
        <w:top w:val="none" w:sz="0" w:space="0" w:color="auto"/>
        <w:left w:val="none" w:sz="0" w:space="0" w:color="auto"/>
        <w:bottom w:val="none" w:sz="0" w:space="0" w:color="auto"/>
        <w:right w:val="none" w:sz="0" w:space="0" w:color="auto"/>
      </w:divBdr>
    </w:div>
    <w:div w:id="176698304">
      <w:bodyDiv w:val="1"/>
      <w:marLeft w:val="0"/>
      <w:marRight w:val="0"/>
      <w:marTop w:val="0"/>
      <w:marBottom w:val="0"/>
      <w:divBdr>
        <w:top w:val="none" w:sz="0" w:space="0" w:color="auto"/>
        <w:left w:val="none" w:sz="0" w:space="0" w:color="auto"/>
        <w:bottom w:val="none" w:sz="0" w:space="0" w:color="auto"/>
        <w:right w:val="none" w:sz="0" w:space="0" w:color="auto"/>
      </w:divBdr>
    </w:div>
    <w:div w:id="178473278">
      <w:bodyDiv w:val="1"/>
      <w:marLeft w:val="0"/>
      <w:marRight w:val="0"/>
      <w:marTop w:val="0"/>
      <w:marBottom w:val="0"/>
      <w:divBdr>
        <w:top w:val="none" w:sz="0" w:space="0" w:color="auto"/>
        <w:left w:val="none" w:sz="0" w:space="0" w:color="auto"/>
        <w:bottom w:val="none" w:sz="0" w:space="0" w:color="auto"/>
        <w:right w:val="none" w:sz="0" w:space="0" w:color="auto"/>
      </w:divBdr>
    </w:div>
    <w:div w:id="183790611">
      <w:bodyDiv w:val="1"/>
      <w:marLeft w:val="0"/>
      <w:marRight w:val="0"/>
      <w:marTop w:val="0"/>
      <w:marBottom w:val="0"/>
      <w:divBdr>
        <w:top w:val="none" w:sz="0" w:space="0" w:color="auto"/>
        <w:left w:val="none" w:sz="0" w:space="0" w:color="auto"/>
        <w:bottom w:val="none" w:sz="0" w:space="0" w:color="auto"/>
        <w:right w:val="none" w:sz="0" w:space="0" w:color="auto"/>
      </w:divBdr>
    </w:div>
    <w:div w:id="201744607">
      <w:bodyDiv w:val="1"/>
      <w:marLeft w:val="0"/>
      <w:marRight w:val="0"/>
      <w:marTop w:val="0"/>
      <w:marBottom w:val="0"/>
      <w:divBdr>
        <w:top w:val="none" w:sz="0" w:space="0" w:color="auto"/>
        <w:left w:val="none" w:sz="0" w:space="0" w:color="auto"/>
        <w:bottom w:val="none" w:sz="0" w:space="0" w:color="auto"/>
        <w:right w:val="none" w:sz="0" w:space="0" w:color="auto"/>
      </w:divBdr>
    </w:div>
    <w:div w:id="204174032">
      <w:bodyDiv w:val="1"/>
      <w:marLeft w:val="0"/>
      <w:marRight w:val="0"/>
      <w:marTop w:val="0"/>
      <w:marBottom w:val="0"/>
      <w:divBdr>
        <w:top w:val="none" w:sz="0" w:space="0" w:color="auto"/>
        <w:left w:val="none" w:sz="0" w:space="0" w:color="auto"/>
        <w:bottom w:val="none" w:sz="0" w:space="0" w:color="auto"/>
        <w:right w:val="none" w:sz="0" w:space="0" w:color="auto"/>
      </w:divBdr>
    </w:div>
    <w:div w:id="206071508">
      <w:bodyDiv w:val="1"/>
      <w:marLeft w:val="0"/>
      <w:marRight w:val="0"/>
      <w:marTop w:val="0"/>
      <w:marBottom w:val="0"/>
      <w:divBdr>
        <w:top w:val="none" w:sz="0" w:space="0" w:color="auto"/>
        <w:left w:val="none" w:sz="0" w:space="0" w:color="auto"/>
        <w:bottom w:val="none" w:sz="0" w:space="0" w:color="auto"/>
        <w:right w:val="none" w:sz="0" w:space="0" w:color="auto"/>
      </w:divBdr>
    </w:div>
    <w:div w:id="210459383">
      <w:bodyDiv w:val="1"/>
      <w:marLeft w:val="0"/>
      <w:marRight w:val="0"/>
      <w:marTop w:val="0"/>
      <w:marBottom w:val="0"/>
      <w:divBdr>
        <w:top w:val="none" w:sz="0" w:space="0" w:color="auto"/>
        <w:left w:val="none" w:sz="0" w:space="0" w:color="auto"/>
        <w:bottom w:val="none" w:sz="0" w:space="0" w:color="auto"/>
        <w:right w:val="none" w:sz="0" w:space="0" w:color="auto"/>
      </w:divBdr>
    </w:div>
    <w:div w:id="211231271">
      <w:bodyDiv w:val="1"/>
      <w:marLeft w:val="0"/>
      <w:marRight w:val="0"/>
      <w:marTop w:val="0"/>
      <w:marBottom w:val="0"/>
      <w:divBdr>
        <w:top w:val="none" w:sz="0" w:space="0" w:color="auto"/>
        <w:left w:val="none" w:sz="0" w:space="0" w:color="auto"/>
        <w:bottom w:val="none" w:sz="0" w:space="0" w:color="auto"/>
        <w:right w:val="none" w:sz="0" w:space="0" w:color="auto"/>
      </w:divBdr>
    </w:div>
    <w:div w:id="220409806">
      <w:bodyDiv w:val="1"/>
      <w:marLeft w:val="0"/>
      <w:marRight w:val="0"/>
      <w:marTop w:val="0"/>
      <w:marBottom w:val="0"/>
      <w:divBdr>
        <w:top w:val="none" w:sz="0" w:space="0" w:color="auto"/>
        <w:left w:val="none" w:sz="0" w:space="0" w:color="auto"/>
        <w:bottom w:val="none" w:sz="0" w:space="0" w:color="auto"/>
        <w:right w:val="none" w:sz="0" w:space="0" w:color="auto"/>
      </w:divBdr>
    </w:div>
    <w:div w:id="233468304">
      <w:bodyDiv w:val="1"/>
      <w:marLeft w:val="0"/>
      <w:marRight w:val="0"/>
      <w:marTop w:val="0"/>
      <w:marBottom w:val="0"/>
      <w:divBdr>
        <w:top w:val="none" w:sz="0" w:space="0" w:color="auto"/>
        <w:left w:val="none" w:sz="0" w:space="0" w:color="auto"/>
        <w:bottom w:val="none" w:sz="0" w:space="0" w:color="auto"/>
        <w:right w:val="none" w:sz="0" w:space="0" w:color="auto"/>
      </w:divBdr>
    </w:div>
    <w:div w:id="242379727">
      <w:bodyDiv w:val="1"/>
      <w:marLeft w:val="0"/>
      <w:marRight w:val="0"/>
      <w:marTop w:val="0"/>
      <w:marBottom w:val="0"/>
      <w:divBdr>
        <w:top w:val="none" w:sz="0" w:space="0" w:color="auto"/>
        <w:left w:val="none" w:sz="0" w:space="0" w:color="auto"/>
        <w:bottom w:val="none" w:sz="0" w:space="0" w:color="auto"/>
        <w:right w:val="none" w:sz="0" w:space="0" w:color="auto"/>
      </w:divBdr>
    </w:div>
    <w:div w:id="243537306">
      <w:bodyDiv w:val="1"/>
      <w:marLeft w:val="0"/>
      <w:marRight w:val="0"/>
      <w:marTop w:val="0"/>
      <w:marBottom w:val="0"/>
      <w:divBdr>
        <w:top w:val="none" w:sz="0" w:space="0" w:color="auto"/>
        <w:left w:val="none" w:sz="0" w:space="0" w:color="auto"/>
        <w:bottom w:val="none" w:sz="0" w:space="0" w:color="auto"/>
        <w:right w:val="none" w:sz="0" w:space="0" w:color="auto"/>
      </w:divBdr>
    </w:div>
    <w:div w:id="252469063">
      <w:bodyDiv w:val="1"/>
      <w:marLeft w:val="0"/>
      <w:marRight w:val="0"/>
      <w:marTop w:val="0"/>
      <w:marBottom w:val="0"/>
      <w:divBdr>
        <w:top w:val="none" w:sz="0" w:space="0" w:color="auto"/>
        <w:left w:val="none" w:sz="0" w:space="0" w:color="auto"/>
        <w:bottom w:val="none" w:sz="0" w:space="0" w:color="auto"/>
        <w:right w:val="none" w:sz="0" w:space="0" w:color="auto"/>
      </w:divBdr>
    </w:div>
    <w:div w:id="255674588">
      <w:bodyDiv w:val="1"/>
      <w:marLeft w:val="0"/>
      <w:marRight w:val="0"/>
      <w:marTop w:val="0"/>
      <w:marBottom w:val="0"/>
      <w:divBdr>
        <w:top w:val="none" w:sz="0" w:space="0" w:color="auto"/>
        <w:left w:val="none" w:sz="0" w:space="0" w:color="auto"/>
        <w:bottom w:val="none" w:sz="0" w:space="0" w:color="auto"/>
        <w:right w:val="none" w:sz="0" w:space="0" w:color="auto"/>
      </w:divBdr>
    </w:div>
    <w:div w:id="259410785">
      <w:bodyDiv w:val="1"/>
      <w:marLeft w:val="0"/>
      <w:marRight w:val="0"/>
      <w:marTop w:val="0"/>
      <w:marBottom w:val="0"/>
      <w:divBdr>
        <w:top w:val="none" w:sz="0" w:space="0" w:color="auto"/>
        <w:left w:val="none" w:sz="0" w:space="0" w:color="auto"/>
        <w:bottom w:val="none" w:sz="0" w:space="0" w:color="auto"/>
        <w:right w:val="none" w:sz="0" w:space="0" w:color="auto"/>
      </w:divBdr>
    </w:div>
    <w:div w:id="261839782">
      <w:bodyDiv w:val="1"/>
      <w:marLeft w:val="0"/>
      <w:marRight w:val="0"/>
      <w:marTop w:val="0"/>
      <w:marBottom w:val="0"/>
      <w:divBdr>
        <w:top w:val="none" w:sz="0" w:space="0" w:color="auto"/>
        <w:left w:val="none" w:sz="0" w:space="0" w:color="auto"/>
        <w:bottom w:val="none" w:sz="0" w:space="0" w:color="auto"/>
        <w:right w:val="none" w:sz="0" w:space="0" w:color="auto"/>
      </w:divBdr>
    </w:div>
    <w:div w:id="267584143">
      <w:bodyDiv w:val="1"/>
      <w:marLeft w:val="0"/>
      <w:marRight w:val="0"/>
      <w:marTop w:val="0"/>
      <w:marBottom w:val="0"/>
      <w:divBdr>
        <w:top w:val="none" w:sz="0" w:space="0" w:color="auto"/>
        <w:left w:val="none" w:sz="0" w:space="0" w:color="auto"/>
        <w:bottom w:val="none" w:sz="0" w:space="0" w:color="auto"/>
        <w:right w:val="none" w:sz="0" w:space="0" w:color="auto"/>
      </w:divBdr>
    </w:div>
    <w:div w:id="269969616">
      <w:bodyDiv w:val="1"/>
      <w:marLeft w:val="0"/>
      <w:marRight w:val="0"/>
      <w:marTop w:val="0"/>
      <w:marBottom w:val="0"/>
      <w:divBdr>
        <w:top w:val="none" w:sz="0" w:space="0" w:color="auto"/>
        <w:left w:val="none" w:sz="0" w:space="0" w:color="auto"/>
        <w:bottom w:val="none" w:sz="0" w:space="0" w:color="auto"/>
        <w:right w:val="none" w:sz="0" w:space="0" w:color="auto"/>
      </w:divBdr>
    </w:div>
    <w:div w:id="301620705">
      <w:bodyDiv w:val="1"/>
      <w:marLeft w:val="0"/>
      <w:marRight w:val="0"/>
      <w:marTop w:val="0"/>
      <w:marBottom w:val="0"/>
      <w:divBdr>
        <w:top w:val="none" w:sz="0" w:space="0" w:color="auto"/>
        <w:left w:val="none" w:sz="0" w:space="0" w:color="auto"/>
        <w:bottom w:val="none" w:sz="0" w:space="0" w:color="auto"/>
        <w:right w:val="none" w:sz="0" w:space="0" w:color="auto"/>
      </w:divBdr>
    </w:div>
    <w:div w:id="302663952">
      <w:bodyDiv w:val="1"/>
      <w:marLeft w:val="0"/>
      <w:marRight w:val="0"/>
      <w:marTop w:val="0"/>
      <w:marBottom w:val="0"/>
      <w:divBdr>
        <w:top w:val="none" w:sz="0" w:space="0" w:color="auto"/>
        <w:left w:val="none" w:sz="0" w:space="0" w:color="auto"/>
        <w:bottom w:val="none" w:sz="0" w:space="0" w:color="auto"/>
        <w:right w:val="none" w:sz="0" w:space="0" w:color="auto"/>
      </w:divBdr>
    </w:div>
    <w:div w:id="332030979">
      <w:bodyDiv w:val="1"/>
      <w:marLeft w:val="0"/>
      <w:marRight w:val="0"/>
      <w:marTop w:val="0"/>
      <w:marBottom w:val="0"/>
      <w:divBdr>
        <w:top w:val="none" w:sz="0" w:space="0" w:color="auto"/>
        <w:left w:val="none" w:sz="0" w:space="0" w:color="auto"/>
        <w:bottom w:val="none" w:sz="0" w:space="0" w:color="auto"/>
        <w:right w:val="none" w:sz="0" w:space="0" w:color="auto"/>
      </w:divBdr>
    </w:div>
    <w:div w:id="333998994">
      <w:bodyDiv w:val="1"/>
      <w:marLeft w:val="0"/>
      <w:marRight w:val="0"/>
      <w:marTop w:val="0"/>
      <w:marBottom w:val="0"/>
      <w:divBdr>
        <w:top w:val="none" w:sz="0" w:space="0" w:color="auto"/>
        <w:left w:val="none" w:sz="0" w:space="0" w:color="auto"/>
        <w:bottom w:val="none" w:sz="0" w:space="0" w:color="auto"/>
        <w:right w:val="none" w:sz="0" w:space="0" w:color="auto"/>
      </w:divBdr>
    </w:div>
    <w:div w:id="339356445">
      <w:bodyDiv w:val="1"/>
      <w:marLeft w:val="0"/>
      <w:marRight w:val="0"/>
      <w:marTop w:val="0"/>
      <w:marBottom w:val="0"/>
      <w:divBdr>
        <w:top w:val="none" w:sz="0" w:space="0" w:color="auto"/>
        <w:left w:val="none" w:sz="0" w:space="0" w:color="auto"/>
        <w:bottom w:val="none" w:sz="0" w:space="0" w:color="auto"/>
        <w:right w:val="none" w:sz="0" w:space="0" w:color="auto"/>
      </w:divBdr>
    </w:div>
    <w:div w:id="349142132">
      <w:bodyDiv w:val="1"/>
      <w:marLeft w:val="0"/>
      <w:marRight w:val="0"/>
      <w:marTop w:val="0"/>
      <w:marBottom w:val="0"/>
      <w:divBdr>
        <w:top w:val="none" w:sz="0" w:space="0" w:color="auto"/>
        <w:left w:val="none" w:sz="0" w:space="0" w:color="auto"/>
        <w:bottom w:val="none" w:sz="0" w:space="0" w:color="auto"/>
        <w:right w:val="none" w:sz="0" w:space="0" w:color="auto"/>
      </w:divBdr>
    </w:div>
    <w:div w:id="356976869">
      <w:bodyDiv w:val="1"/>
      <w:marLeft w:val="0"/>
      <w:marRight w:val="0"/>
      <w:marTop w:val="0"/>
      <w:marBottom w:val="0"/>
      <w:divBdr>
        <w:top w:val="none" w:sz="0" w:space="0" w:color="auto"/>
        <w:left w:val="none" w:sz="0" w:space="0" w:color="auto"/>
        <w:bottom w:val="none" w:sz="0" w:space="0" w:color="auto"/>
        <w:right w:val="none" w:sz="0" w:space="0" w:color="auto"/>
      </w:divBdr>
    </w:div>
    <w:div w:id="370308853">
      <w:bodyDiv w:val="1"/>
      <w:marLeft w:val="0"/>
      <w:marRight w:val="0"/>
      <w:marTop w:val="0"/>
      <w:marBottom w:val="0"/>
      <w:divBdr>
        <w:top w:val="none" w:sz="0" w:space="0" w:color="auto"/>
        <w:left w:val="none" w:sz="0" w:space="0" w:color="auto"/>
        <w:bottom w:val="none" w:sz="0" w:space="0" w:color="auto"/>
        <w:right w:val="none" w:sz="0" w:space="0" w:color="auto"/>
      </w:divBdr>
    </w:div>
    <w:div w:id="380520407">
      <w:bodyDiv w:val="1"/>
      <w:marLeft w:val="0"/>
      <w:marRight w:val="0"/>
      <w:marTop w:val="0"/>
      <w:marBottom w:val="0"/>
      <w:divBdr>
        <w:top w:val="none" w:sz="0" w:space="0" w:color="auto"/>
        <w:left w:val="none" w:sz="0" w:space="0" w:color="auto"/>
        <w:bottom w:val="none" w:sz="0" w:space="0" w:color="auto"/>
        <w:right w:val="none" w:sz="0" w:space="0" w:color="auto"/>
      </w:divBdr>
    </w:div>
    <w:div w:id="391193794">
      <w:bodyDiv w:val="1"/>
      <w:marLeft w:val="0"/>
      <w:marRight w:val="0"/>
      <w:marTop w:val="0"/>
      <w:marBottom w:val="0"/>
      <w:divBdr>
        <w:top w:val="none" w:sz="0" w:space="0" w:color="auto"/>
        <w:left w:val="none" w:sz="0" w:space="0" w:color="auto"/>
        <w:bottom w:val="none" w:sz="0" w:space="0" w:color="auto"/>
        <w:right w:val="none" w:sz="0" w:space="0" w:color="auto"/>
      </w:divBdr>
    </w:div>
    <w:div w:id="393167903">
      <w:bodyDiv w:val="1"/>
      <w:marLeft w:val="0"/>
      <w:marRight w:val="0"/>
      <w:marTop w:val="0"/>
      <w:marBottom w:val="0"/>
      <w:divBdr>
        <w:top w:val="none" w:sz="0" w:space="0" w:color="auto"/>
        <w:left w:val="none" w:sz="0" w:space="0" w:color="auto"/>
        <w:bottom w:val="none" w:sz="0" w:space="0" w:color="auto"/>
        <w:right w:val="none" w:sz="0" w:space="0" w:color="auto"/>
      </w:divBdr>
    </w:div>
    <w:div w:id="401559123">
      <w:bodyDiv w:val="1"/>
      <w:marLeft w:val="0"/>
      <w:marRight w:val="0"/>
      <w:marTop w:val="0"/>
      <w:marBottom w:val="0"/>
      <w:divBdr>
        <w:top w:val="none" w:sz="0" w:space="0" w:color="auto"/>
        <w:left w:val="none" w:sz="0" w:space="0" w:color="auto"/>
        <w:bottom w:val="none" w:sz="0" w:space="0" w:color="auto"/>
        <w:right w:val="none" w:sz="0" w:space="0" w:color="auto"/>
      </w:divBdr>
    </w:div>
    <w:div w:id="415176970">
      <w:bodyDiv w:val="1"/>
      <w:marLeft w:val="0"/>
      <w:marRight w:val="0"/>
      <w:marTop w:val="0"/>
      <w:marBottom w:val="0"/>
      <w:divBdr>
        <w:top w:val="none" w:sz="0" w:space="0" w:color="auto"/>
        <w:left w:val="none" w:sz="0" w:space="0" w:color="auto"/>
        <w:bottom w:val="none" w:sz="0" w:space="0" w:color="auto"/>
        <w:right w:val="none" w:sz="0" w:space="0" w:color="auto"/>
      </w:divBdr>
    </w:div>
    <w:div w:id="421679204">
      <w:bodyDiv w:val="1"/>
      <w:marLeft w:val="0"/>
      <w:marRight w:val="0"/>
      <w:marTop w:val="0"/>
      <w:marBottom w:val="0"/>
      <w:divBdr>
        <w:top w:val="none" w:sz="0" w:space="0" w:color="auto"/>
        <w:left w:val="none" w:sz="0" w:space="0" w:color="auto"/>
        <w:bottom w:val="none" w:sz="0" w:space="0" w:color="auto"/>
        <w:right w:val="none" w:sz="0" w:space="0" w:color="auto"/>
      </w:divBdr>
    </w:div>
    <w:div w:id="424034504">
      <w:bodyDiv w:val="1"/>
      <w:marLeft w:val="0"/>
      <w:marRight w:val="0"/>
      <w:marTop w:val="0"/>
      <w:marBottom w:val="0"/>
      <w:divBdr>
        <w:top w:val="none" w:sz="0" w:space="0" w:color="auto"/>
        <w:left w:val="none" w:sz="0" w:space="0" w:color="auto"/>
        <w:bottom w:val="none" w:sz="0" w:space="0" w:color="auto"/>
        <w:right w:val="none" w:sz="0" w:space="0" w:color="auto"/>
      </w:divBdr>
    </w:div>
    <w:div w:id="429591921">
      <w:bodyDiv w:val="1"/>
      <w:marLeft w:val="0"/>
      <w:marRight w:val="0"/>
      <w:marTop w:val="0"/>
      <w:marBottom w:val="0"/>
      <w:divBdr>
        <w:top w:val="none" w:sz="0" w:space="0" w:color="auto"/>
        <w:left w:val="none" w:sz="0" w:space="0" w:color="auto"/>
        <w:bottom w:val="none" w:sz="0" w:space="0" w:color="auto"/>
        <w:right w:val="none" w:sz="0" w:space="0" w:color="auto"/>
      </w:divBdr>
    </w:div>
    <w:div w:id="437678327">
      <w:bodyDiv w:val="1"/>
      <w:marLeft w:val="0"/>
      <w:marRight w:val="0"/>
      <w:marTop w:val="0"/>
      <w:marBottom w:val="0"/>
      <w:divBdr>
        <w:top w:val="none" w:sz="0" w:space="0" w:color="auto"/>
        <w:left w:val="none" w:sz="0" w:space="0" w:color="auto"/>
        <w:bottom w:val="none" w:sz="0" w:space="0" w:color="auto"/>
        <w:right w:val="none" w:sz="0" w:space="0" w:color="auto"/>
      </w:divBdr>
    </w:div>
    <w:div w:id="440035570">
      <w:bodyDiv w:val="1"/>
      <w:marLeft w:val="0"/>
      <w:marRight w:val="0"/>
      <w:marTop w:val="0"/>
      <w:marBottom w:val="0"/>
      <w:divBdr>
        <w:top w:val="none" w:sz="0" w:space="0" w:color="auto"/>
        <w:left w:val="none" w:sz="0" w:space="0" w:color="auto"/>
        <w:bottom w:val="none" w:sz="0" w:space="0" w:color="auto"/>
        <w:right w:val="none" w:sz="0" w:space="0" w:color="auto"/>
      </w:divBdr>
    </w:div>
    <w:div w:id="445660297">
      <w:bodyDiv w:val="1"/>
      <w:marLeft w:val="0"/>
      <w:marRight w:val="0"/>
      <w:marTop w:val="0"/>
      <w:marBottom w:val="0"/>
      <w:divBdr>
        <w:top w:val="none" w:sz="0" w:space="0" w:color="auto"/>
        <w:left w:val="none" w:sz="0" w:space="0" w:color="auto"/>
        <w:bottom w:val="none" w:sz="0" w:space="0" w:color="auto"/>
        <w:right w:val="none" w:sz="0" w:space="0" w:color="auto"/>
      </w:divBdr>
    </w:div>
    <w:div w:id="448009530">
      <w:bodyDiv w:val="1"/>
      <w:marLeft w:val="0"/>
      <w:marRight w:val="0"/>
      <w:marTop w:val="0"/>
      <w:marBottom w:val="0"/>
      <w:divBdr>
        <w:top w:val="none" w:sz="0" w:space="0" w:color="auto"/>
        <w:left w:val="none" w:sz="0" w:space="0" w:color="auto"/>
        <w:bottom w:val="none" w:sz="0" w:space="0" w:color="auto"/>
        <w:right w:val="none" w:sz="0" w:space="0" w:color="auto"/>
      </w:divBdr>
    </w:div>
    <w:div w:id="468019596">
      <w:bodyDiv w:val="1"/>
      <w:marLeft w:val="0"/>
      <w:marRight w:val="0"/>
      <w:marTop w:val="0"/>
      <w:marBottom w:val="0"/>
      <w:divBdr>
        <w:top w:val="none" w:sz="0" w:space="0" w:color="auto"/>
        <w:left w:val="none" w:sz="0" w:space="0" w:color="auto"/>
        <w:bottom w:val="none" w:sz="0" w:space="0" w:color="auto"/>
        <w:right w:val="none" w:sz="0" w:space="0" w:color="auto"/>
      </w:divBdr>
    </w:div>
    <w:div w:id="476652681">
      <w:bodyDiv w:val="1"/>
      <w:marLeft w:val="0"/>
      <w:marRight w:val="0"/>
      <w:marTop w:val="0"/>
      <w:marBottom w:val="0"/>
      <w:divBdr>
        <w:top w:val="none" w:sz="0" w:space="0" w:color="auto"/>
        <w:left w:val="none" w:sz="0" w:space="0" w:color="auto"/>
        <w:bottom w:val="none" w:sz="0" w:space="0" w:color="auto"/>
        <w:right w:val="none" w:sz="0" w:space="0" w:color="auto"/>
      </w:divBdr>
    </w:div>
    <w:div w:id="478887230">
      <w:bodyDiv w:val="1"/>
      <w:marLeft w:val="0"/>
      <w:marRight w:val="0"/>
      <w:marTop w:val="0"/>
      <w:marBottom w:val="0"/>
      <w:divBdr>
        <w:top w:val="none" w:sz="0" w:space="0" w:color="auto"/>
        <w:left w:val="none" w:sz="0" w:space="0" w:color="auto"/>
        <w:bottom w:val="none" w:sz="0" w:space="0" w:color="auto"/>
        <w:right w:val="none" w:sz="0" w:space="0" w:color="auto"/>
      </w:divBdr>
    </w:div>
    <w:div w:id="479273009">
      <w:bodyDiv w:val="1"/>
      <w:marLeft w:val="0"/>
      <w:marRight w:val="0"/>
      <w:marTop w:val="0"/>
      <w:marBottom w:val="0"/>
      <w:divBdr>
        <w:top w:val="none" w:sz="0" w:space="0" w:color="auto"/>
        <w:left w:val="none" w:sz="0" w:space="0" w:color="auto"/>
        <w:bottom w:val="none" w:sz="0" w:space="0" w:color="auto"/>
        <w:right w:val="none" w:sz="0" w:space="0" w:color="auto"/>
      </w:divBdr>
    </w:div>
    <w:div w:id="481117066">
      <w:bodyDiv w:val="1"/>
      <w:marLeft w:val="0"/>
      <w:marRight w:val="0"/>
      <w:marTop w:val="0"/>
      <w:marBottom w:val="0"/>
      <w:divBdr>
        <w:top w:val="none" w:sz="0" w:space="0" w:color="auto"/>
        <w:left w:val="none" w:sz="0" w:space="0" w:color="auto"/>
        <w:bottom w:val="none" w:sz="0" w:space="0" w:color="auto"/>
        <w:right w:val="none" w:sz="0" w:space="0" w:color="auto"/>
      </w:divBdr>
    </w:div>
    <w:div w:id="484515248">
      <w:bodyDiv w:val="1"/>
      <w:marLeft w:val="0"/>
      <w:marRight w:val="0"/>
      <w:marTop w:val="0"/>
      <w:marBottom w:val="0"/>
      <w:divBdr>
        <w:top w:val="none" w:sz="0" w:space="0" w:color="auto"/>
        <w:left w:val="none" w:sz="0" w:space="0" w:color="auto"/>
        <w:bottom w:val="none" w:sz="0" w:space="0" w:color="auto"/>
        <w:right w:val="none" w:sz="0" w:space="0" w:color="auto"/>
      </w:divBdr>
    </w:div>
    <w:div w:id="503281290">
      <w:bodyDiv w:val="1"/>
      <w:marLeft w:val="0"/>
      <w:marRight w:val="0"/>
      <w:marTop w:val="0"/>
      <w:marBottom w:val="0"/>
      <w:divBdr>
        <w:top w:val="none" w:sz="0" w:space="0" w:color="auto"/>
        <w:left w:val="none" w:sz="0" w:space="0" w:color="auto"/>
        <w:bottom w:val="none" w:sz="0" w:space="0" w:color="auto"/>
        <w:right w:val="none" w:sz="0" w:space="0" w:color="auto"/>
      </w:divBdr>
    </w:div>
    <w:div w:id="504324464">
      <w:bodyDiv w:val="1"/>
      <w:marLeft w:val="0"/>
      <w:marRight w:val="0"/>
      <w:marTop w:val="0"/>
      <w:marBottom w:val="0"/>
      <w:divBdr>
        <w:top w:val="none" w:sz="0" w:space="0" w:color="auto"/>
        <w:left w:val="none" w:sz="0" w:space="0" w:color="auto"/>
        <w:bottom w:val="none" w:sz="0" w:space="0" w:color="auto"/>
        <w:right w:val="none" w:sz="0" w:space="0" w:color="auto"/>
      </w:divBdr>
    </w:div>
    <w:div w:id="517160101">
      <w:bodyDiv w:val="1"/>
      <w:marLeft w:val="0"/>
      <w:marRight w:val="0"/>
      <w:marTop w:val="0"/>
      <w:marBottom w:val="0"/>
      <w:divBdr>
        <w:top w:val="none" w:sz="0" w:space="0" w:color="auto"/>
        <w:left w:val="none" w:sz="0" w:space="0" w:color="auto"/>
        <w:bottom w:val="none" w:sz="0" w:space="0" w:color="auto"/>
        <w:right w:val="none" w:sz="0" w:space="0" w:color="auto"/>
      </w:divBdr>
    </w:div>
    <w:div w:id="537358290">
      <w:bodyDiv w:val="1"/>
      <w:marLeft w:val="0"/>
      <w:marRight w:val="0"/>
      <w:marTop w:val="0"/>
      <w:marBottom w:val="0"/>
      <w:divBdr>
        <w:top w:val="none" w:sz="0" w:space="0" w:color="auto"/>
        <w:left w:val="none" w:sz="0" w:space="0" w:color="auto"/>
        <w:bottom w:val="none" w:sz="0" w:space="0" w:color="auto"/>
        <w:right w:val="none" w:sz="0" w:space="0" w:color="auto"/>
      </w:divBdr>
    </w:div>
    <w:div w:id="537667259">
      <w:bodyDiv w:val="1"/>
      <w:marLeft w:val="0"/>
      <w:marRight w:val="0"/>
      <w:marTop w:val="0"/>
      <w:marBottom w:val="0"/>
      <w:divBdr>
        <w:top w:val="none" w:sz="0" w:space="0" w:color="auto"/>
        <w:left w:val="none" w:sz="0" w:space="0" w:color="auto"/>
        <w:bottom w:val="none" w:sz="0" w:space="0" w:color="auto"/>
        <w:right w:val="none" w:sz="0" w:space="0" w:color="auto"/>
      </w:divBdr>
    </w:div>
    <w:div w:id="538516550">
      <w:bodyDiv w:val="1"/>
      <w:marLeft w:val="0"/>
      <w:marRight w:val="0"/>
      <w:marTop w:val="0"/>
      <w:marBottom w:val="0"/>
      <w:divBdr>
        <w:top w:val="none" w:sz="0" w:space="0" w:color="auto"/>
        <w:left w:val="none" w:sz="0" w:space="0" w:color="auto"/>
        <w:bottom w:val="none" w:sz="0" w:space="0" w:color="auto"/>
        <w:right w:val="none" w:sz="0" w:space="0" w:color="auto"/>
      </w:divBdr>
    </w:div>
    <w:div w:id="550534000">
      <w:bodyDiv w:val="1"/>
      <w:marLeft w:val="0"/>
      <w:marRight w:val="0"/>
      <w:marTop w:val="0"/>
      <w:marBottom w:val="0"/>
      <w:divBdr>
        <w:top w:val="none" w:sz="0" w:space="0" w:color="auto"/>
        <w:left w:val="none" w:sz="0" w:space="0" w:color="auto"/>
        <w:bottom w:val="none" w:sz="0" w:space="0" w:color="auto"/>
        <w:right w:val="none" w:sz="0" w:space="0" w:color="auto"/>
      </w:divBdr>
    </w:div>
    <w:div w:id="559093556">
      <w:bodyDiv w:val="1"/>
      <w:marLeft w:val="0"/>
      <w:marRight w:val="0"/>
      <w:marTop w:val="0"/>
      <w:marBottom w:val="0"/>
      <w:divBdr>
        <w:top w:val="none" w:sz="0" w:space="0" w:color="auto"/>
        <w:left w:val="none" w:sz="0" w:space="0" w:color="auto"/>
        <w:bottom w:val="none" w:sz="0" w:space="0" w:color="auto"/>
        <w:right w:val="none" w:sz="0" w:space="0" w:color="auto"/>
      </w:divBdr>
    </w:div>
    <w:div w:id="575210236">
      <w:bodyDiv w:val="1"/>
      <w:marLeft w:val="0"/>
      <w:marRight w:val="0"/>
      <w:marTop w:val="0"/>
      <w:marBottom w:val="0"/>
      <w:divBdr>
        <w:top w:val="none" w:sz="0" w:space="0" w:color="auto"/>
        <w:left w:val="none" w:sz="0" w:space="0" w:color="auto"/>
        <w:bottom w:val="none" w:sz="0" w:space="0" w:color="auto"/>
        <w:right w:val="none" w:sz="0" w:space="0" w:color="auto"/>
      </w:divBdr>
    </w:div>
    <w:div w:id="584336521">
      <w:bodyDiv w:val="1"/>
      <w:marLeft w:val="0"/>
      <w:marRight w:val="0"/>
      <w:marTop w:val="0"/>
      <w:marBottom w:val="0"/>
      <w:divBdr>
        <w:top w:val="none" w:sz="0" w:space="0" w:color="auto"/>
        <w:left w:val="none" w:sz="0" w:space="0" w:color="auto"/>
        <w:bottom w:val="none" w:sz="0" w:space="0" w:color="auto"/>
        <w:right w:val="none" w:sz="0" w:space="0" w:color="auto"/>
      </w:divBdr>
    </w:div>
    <w:div w:id="588463488">
      <w:bodyDiv w:val="1"/>
      <w:marLeft w:val="0"/>
      <w:marRight w:val="0"/>
      <w:marTop w:val="0"/>
      <w:marBottom w:val="0"/>
      <w:divBdr>
        <w:top w:val="none" w:sz="0" w:space="0" w:color="auto"/>
        <w:left w:val="none" w:sz="0" w:space="0" w:color="auto"/>
        <w:bottom w:val="none" w:sz="0" w:space="0" w:color="auto"/>
        <w:right w:val="none" w:sz="0" w:space="0" w:color="auto"/>
      </w:divBdr>
    </w:div>
    <w:div w:id="589435666">
      <w:bodyDiv w:val="1"/>
      <w:marLeft w:val="0"/>
      <w:marRight w:val="0"/>
      <w:marTop w:val="0"/>
      <w:marBottom w:val="0"/>
      <w:divBdr>
        <w:top w:val="none" w:sz="0" w:space="0" w:color="auto"/>
        <w:left w:val="none" w:sz="0" w:space="0" w:color="auto"/>
        <w:bottom w:val="none" w:sz="0" w:space="0" w:color="auto"/>
        <w:right w:val="none" w:sz="0" w:space="0" w:color="auto"/>
      </w:divBdr>
    </w:div>
    <w:div w:id="615915211">
      <w:bodyDiv w:val="1"/>
      <w:marLeft w:val="0"/>
      <w:marRight w:val="0"/>
      <w:marTop w:val="0"/>
      <w:marBottom w:val="0"/>
      <w:divBdr>
        <w:top w:val="none" w:sz="0" w:space="0" w:color="auto"/>
        <w:left w:val="none" w:sz="0" w:space="0" w:color="auto"/>
        <w:bottom w:val="none" w:sz="0" w:space="0" w:color="auto"/>
        <w:right w:val="none" w:sz="0" w:space="0" w:color="auto"/>
      </w:divBdr>
    </w:div>
    <w:div w:id="624314760">
      <w:bodyDiv w:val="1"/>
      <w:marLeft w:val="0"/>
      <w:marRight w:val="0"/>
      <w:marTop w:val="0"/>
      <w:marBottom w:val="0"/>
      <w:divBdr>
        <w:top w:val="none" w:sz="0" w:space="0" w:color="auto"/>
        <w:left w:val="none" w:sz="0" w:space="0" w:color="auto"/>
        <w:bottom w:val="none" w:sz="0" w:space="0" w:color="auto"/>
        <w:right w:val="none" w:sz="0" w:space="0" w:color="auto"/>
      </w:divBdr>
    </w:div>
    <w:div w:id="624703763">
      <w:bodyDiv w:val="1"/>
      <w:marLeft w:val="0"/>
      <w:marRight w:val="0"/>
      <w:marTop w:val="0"/>
      <w:marBottom w:val="0"/>
      <w:divBdr>
        <w:top w:val="none" w:sz="0" w:space="0" w:color="auto"/>
        <w:left w:val="none" w:sz="0" w:space="0" w:color="auto"/>
        <w:bottom w:val="none" w:sz="0" w:space="0" w:color="auto"/>
        <w:right w:val="none" w:sz="0" w:space="0" w:color="auto"/>
      </w:divBdr>
    </w:div>
    <w:div w:id="624966754">
      <w:bodyDiv w:val="1"/>
      <w:marLeft w:val="0"/>
      <w:marRight w:val="0"/>
      <w:marTop w:val="0"/>
      <w:marBottom w:val="0"/>
      <w:divBdr>
        <w:top w:val="none" w:sz="0" w:space="0" w:color="auto"/>
        <w:left w:val="none" w:sz="0" w:space="0" w:color="auto"/>
        <w:bottom w:val="none" w:sz="0" w:space="0" w:color="auto"/>
        <w:right w:val="none" w:sz="0" w:space="0" w:color="auto"/>
      </w:divBdr>
    </w:div>
    <w:div w:id="625500552">
      <w:bodyDiv w:val="1"/>
      <w:marLeft w:val="0"/>
      <w:marRight w:val="0"/>
      <w:marTop w:val="0"/>
      <w:marBottom w:val="0"/>
      <w:divBdr>
        <w:top w:val="none" w:sz="0" w:space="0" w:color="auto"/>
        <w:left w:val="none" w:sz="0" w:space="0" w:color="auto"/>
        <w:bottom w:val="none" w:sz="0" w:space="0" w:color="auto"/>
        <w:right w:val="none" w:sz="0" w:space="0" w:color="auto"/>
      </w:divBdr>
    </w:div>
    <w:div w:id="634601406">
      <w:bodyDiv w:val="1"/>
      <w:marLeft w:val="0"/>
      <w:marRight w:val="0"/>
      <w:marTop w:val="0"/>
      <w:marBottom w:val="0"/>
      <w:divBdr>
        <w:top w:val="none" w:sz="0" w:space="0" w:color="auto"/>
        <w:left w:val="none" w:sz="0" w:space="0" w:color="auto"/>
        <w:bottom w:val="none" w:sz="0" w:space="0" w:color="auto"/>
        <w:right w:val="none" w:sz="0" w:space="0" w:color="auto"/>
      </w:divBdr>
    </w:div>
    <w:div w:id="636766608">
      <w:bodyDiv w:val="1"/>
      <w:marLeft w:val="0"/>
      <w:marRight w:val="0"/>
      <w:marTop w:val="0"/>
      <w:marBottom w:val="0"/>
      <w:divBdr>
        <w:top w:val="none" w:sz="0" w:space="0" w:color="auto"/>
        <w:left w:val="none" w:sz="0" w:space="0" w:color="auto"/>
        <w:bottom w:val="none" w:sz="0" w:space="0" w:color="auto"/>
        <w:right w:val="none" w:sz="0" w:space="0" w:color="auto"/>
      </w:divBdr>
    </w:div>
    <w:div w:id="638144320">
      <w:bodyDiv w:val="1"/>
      <w:marLeft w:val="0"/>
      <w:marRight w:val="0"/>
      <w:marTop w:val="0"/>
      <w:marBottom w:val="0"/>
      <w:divBdr>
        <w:top w:val="none" w:sz="0" w:space="0" w:color="auto"/>
        <w:left w:val="none" w:sz="0" w:space="0" w:color="auto"/>
        <w:bottom w:val="none" w:sz="0" w:space="0" w:color="auto"/>
        <w:right w:val="none" w:sz="0" w:space="0" w:color="auto"/>
      </w:divBdr>
    </w:div>
    <w:div w:id="638920918">
      <w:bodyDiv w:val="1"/>
      <w:marLeft w:val="0"/>
      <w:marRight w:val="0"/>
      <w:marTop w:val="0"/>
      <w:marBottom w:val="0"/>
      <w:divBdr>
        <w:top w:val="none" w:sz="0" w:space="0" w:color="auto"/>
        <w:left w:val="none" w:sz="0" w:space="0" w:color="auto"/>
        <w:bottom w:val="none" w:sz="0" w:space="0" w:color="auto"/>
        <w:right w:val="none" w:sz="0" w:space="0" w:color="auto"/>
      </w:divBdr>
    </w:div>
    <w:div w:id="639925402">
      <w:bodyDiv w:val="1"/>
      <w:marLeft w:val="0"/>
      <w:marRight w:val="0"/>
      <w:marTop w:val="0"/>
      <w:marBottom w:val="0"/>
      <w:divBdr>
        <w:top w:val="none" w:sz="0" w:space="0" w:color="auto"/>
        <w:left w:val="none" w:sz="0" w:space="0" w:color="auto"/>
        <w:bottom w:val="none" w:sz="0" w:space="0" w:color="auto"/>
        <w:right w:val="none" w:sz="0" w:space="0" w:color="auto"/>
      </w:divBdr>
    </w:div>
    <w:div w:id="652024199">
      <w:bodyDiv w:val="1"/>
      <w:marLeft w:val="0"/>
      <w:marRight w:val="0"/>
      <w:marTop w:val="0"/>
      <w:marBottom w:val="0"/>
      <w:divBdr>
        <w:top w:val="none" w:sz="0" w:space="0" w:color="auto"/>
        <w:left w:val="none" w:sz="0" w:space="0" w:color="auto"/>
        <w:bottom w:val="none" w:sz="0" w:space="0" w:color="auto"/>
        <w:right w:val="none" w:sz="0" w:space="0" w:color="auto"/>
      </w:divBdr>
    </w:div>
    <w:div w:id="653031187">
      <w:bodyDiv w:val="1"/>
      <w:marLeft w:val="0"/>
      <w:marRight w:val="0"/>
      <w:marTop w:val="0"/>
      <w:marBottom w:val="0"/>
      <w:divBdr>
        <w:top w:val="none" w:sz="0" w:space="0" w:color="auto"/>
        <w:left w:val="none" w:sz="0" w:space="0" w:color="auto"/>
        <w:bottom w:val="none" w:sz="0" w:space="0" w:color="auto"/>
        <w:right w:val="none" w:sz="0" w:space="0" w:color="auto"/>
      </w:divBdr>
    </w:div>
    <w:div w:id="654339799">
      <w:bodyDiv w:val="1"/>
      <w:marLeft w:val="0"/>
      <w:marRight w:val="0"/>
      <w:marTop w:val="0"/>
      <w:marBottom w:val="0"/>
      <w:divBdr>
        <w:top w:val="none" w:sz="0" w:space="0" w:color="auto"/>
        <w:left w:val="none" w:sz="0" w:space="0" w:color="auto"/>
        <w:bottom w:val="none" w:sz="0" w:space="0" w:color="auto"/>
        <w:right w:val="none" w:sz="0" w:space="0" w:color="auto"/>
      </w:divBdr>
    </w:div>
    <w:div w:id="654728266">
      <w:bodyDiv w:val="1"/>
      <w:marLeft w:val="0"/>
      <w:marRight w:val="0"/>
      <w:marTop w:val="0"/>
      <w:marBottom w:val="0"/>
      <w:divBdr>
        <w:top w:val="none" w:sz="0" w:space="0" w:color="auto"/>
        <w:left w:val="none" w:sz="0" w:space="0" w:color="auto"/>
        <w:bottom w:val="none" w:sz="0" w:space="0" w:color="auto"/>
        <w:right w:val="none" w:sz="0" w:space="0" w:color="auto"/>
      </w:divBdr>
    </w:div>
    <w:div w:id="654799151">
      <w:bodyDiv w:val="1"/>
      <w:marLeft w:val="0"/>
      <w:marRight w:val="0"/>
      <w:marTop w:val="0"/>
      <w:marBottom w:val="0"/>
      <w:divBdr>
        <w:top w:val="none" w:sz="0" w:space="0" w:color="auto"/>
        <w:left w:val="none" w:sz="0" w:space="0" w:color="auto"/>
        <w:bottom w:val="none" w:sz="0" w:space="0" w:color="auto"/>
        <w:right w:val="none" w:sz="0" w:space="0" w:color="auto"/>
      </w:divBdr>
    </w:div>
    <w:div w:id="657004775">
      <w:bodyDiv w:val="1"/>
      <w:marLeft w:val="0"/>
      <w:marRight w:val="0"/>
      <w:marTop w:val="0"/>
      <w:marBottom w:val="0"/>
      <w:divBdr>
        <w:top w:val="none" w:sz="0" w:space="0" w:color="auto"/>
        <w:left w:val="none" w:sz="0" w:space="0" w:color="auto"/>
        <w:bottom w:val="none" w:sz="0" w:space="0" w:color="auto"/>
        <w:right w:val="none" w:sz="0" w:space="0" w:color="auto"/>
      </w:divBdr>
    </w:div>
    <w:div w:id="662004260">
      <w:bodyDiv w:val="1"/>
      <w:marLeft w:val="0"/>
      <w:marRight w:val="0"/>
      <w:marTop w:val="0"/>
      <w:marBottom w:val="0"/>
      <w:divBdr>
        <w:top w:val="none" w:sz="0" w:space="0" w:color="auto"/>
        <w:left w:val="none" w:sz="0" w:space="0" w:color="auto"/>
        <w:bottom w:val="none" w:sz="0" w:space="0" w:color="auto"/>
        <w:right w:val="none" w:sz="0" w:space="0" w:color="auto"/>
      </w:divBdr>
    </w:div>
    <w:div w:id="682099047">
      <w:bodyDiv w:val="1"/>
      <w:marLeft w:val="0"/>
      <w:marRight w:val="0"/>
      <w:marTop w:val="0"/>
      <w:marBottom w:val="0"/>
      <w:divBdr>
        <w:top w:val="none" w:sz="0" w:space="0" w:color="auto"/>
        <w:left w:val="none" w:sz="0" w:space="0" w:color="auto"/>
        <w:bottom w:val="none" w:sz="0" w:space="0" w:color="auto"/>
        <w:right w:val="none" w:sz="0" w:space="0" w:color="auto"/>
      </w:divBdr>
    </w:div>
    <w:div w:id="706491786">
      <w:bodyDiv w:val="1"/>
      <w:marLeft w:val="0"/>
      <w:marRight w:val="0"/>
      <w:marTop w:val="0"/>
      <w:marBottom w:val="0"/>
      <w:divBdr>
        <w:top w:val="none" w:sz="0" w:space="0" w:color="auto"/>
        <w:left w:val="none" w:sz="0" w:space="0" w:color="auto"/>
        <w:bottom w:val="none" w:sz="0" w:space="0" w:color="auto"/>
        <w:right w:val="none" w:sz="0" w:space="0" w:color="auto"/>
      </w:divBdr>
    </w:div>
    <w:div w:id="706754806">
      <w:bodyDiv w:val="1"/>
      <w:marLeft w:val="0"/>
      <w:marRight w:val="0"/>
      <w:marTop w:val="0"/>
      <w:marBottom w:val="0"/>
      <w:divBdr>
        <w:top w:val="none" w:sz="0" w:space="0" w:color="auto"/>
        <w:left w:val="none" w:sz="0" w:space="0" w:color="auto"/>
        <w:bottom w:val="none" w:sz="0" w:space="0" w:color="auto"/>
        <w:right w:val="none" w:sz="0" w:space="0" w:color="auto"/>
      </w:divBdr>
    </w:div>
    <w:div w:id="709456323">
      <w:bodyDiv w:val="1"/>
      <w:marLeft w:val="0"/>
      <w:marRight w:val="0"/>
      <w:marTop w:val="0"/>
      <w:marBottom w:val="0"/>
      <w:divBdr>
        <w:top w:val="none" w:sz="0" w:space="0" w:color="auto"/>
        <w:left w:val="none" w:sz="0" w:space="0" w:color="auto"/>
        <w:bottom w:val="none" w:sz="0" w:space="0" w:color="auto"/>
        <w:right w:val="none" w:sz="0" w:space="0" w:color="auto"/>
      </w:divBdr>
    </w:div>
    <w:div w:id="709456524">
      <w:bodyDiv w:val="1"/>
      <w:marLeft w:val="0"/>
      <w:marRight w:val="0"/>
      <w:marTop w:val="0"/>
      <w:marBottom w:val="0"/>
      <w:divBdr>
        <w:top w:val="none" w:sz="0" w:space="0" w:color="auto"/>
        <w:left w:val="none" w:sz="0" w:space="0" w:color="auto"/>
        <w:bottom w:val="none" w:sz="0" w:space="0" w:color="auto"/>
        <w:right w:val="none" w:sz="0" w:space="0" w:color="auto"/>
      </w:divBdr>
    </w:div>
    <w:div w:id="718090769">
      <w:bodyDiv w:val="1"/>
      <w:marLeft w:val="0"/>
      <w:marRight w:val="0"/>
      <w:marTop w:val="0"/>
      <w:marBottom w:val="0"/>
      <w:divBdr>
        <w:top w:val="none" w:sz="0" w:space="0" w:color="auto"/>
        <w:left w:val="none" w:sz="0" w:space="0" w:color="auto"/>
        <w:bottom w:val="none" w:sz="0" w:space="0" w:color="auto"/>
        <w:right w:val="none" w:sz="0" w:space="0" w:color="auto"/>
      </w:divBdr>
    </w:div>
    <w:div w:id="718939511">
      <w:bodyDiv w:val="1"/>
      <w:marLeft w:val="0"/>
      <w:marRight w:val="0"/>
      <w:marTop w:val="0"/>
      <w:marBottom w:val="0"/>
      <w:divBdr>
        <w:top w:val="none" w:sz="0" w:space="0" w:color="auto"/>
        <w:left w:val="none" w:sz="0" w:space="0" w:color="auto"/>
        <w:bottom w:val="none" w:sz="0" w:space="0" w:color="auto"/>
        <w:right w:val="none" w:sz="0" w:space="0" w:color="auto"/>
      </w:divBdr>
    </w:div>
    <w:div w:id="720404447">
      <w:bodyDiv w:val="1"/>
      <w:marLeft w:val="0"/>
      <w:marRight w:val="0"/>
      <w:marTop w:val="0"/>
      <w:marBottom w:val="0"/>
      <w:divBdr>
        <w:top w:val="none" w:sz="0" w:space="0" w:color="auto"/>
        <w:left w:val="none" w:sz="0" w:space="0" w:color="auto"/>
        <w:bottom w:val="none" w:sz="0" w:space="0" w:color="auto"/>
        <w:right w:val="none" w:sz="0" w:space="0" w:color="auto"/>
      </w:divBdr>
    </w:div>
    <w:div w:id="722676708">
      <w:bodyDiv w:val="1"/>
      <w:marLeft w:val="0"/>
      <w:marRight w:val="0"/>
      <w:marTop w:val="0"/>
      <w:marBottom w:val="0"/>
      <w:divBdr>
        <w:top w:val="none" w:sz="0" w:space="0" w:color="auto"/>
        <w:left w:val="none" w:sz="0" w:space="0" w:color="auto"/>
        <w:bottom w:val="none" w:sz="0" w:space="0" w:color="auto"/>
        <w:right w:val="none" w:sz="0" w:space="0" w:color="auto"/>
      </w:divBdr>
    </w:div>
    <w:div w:id="726417700">
      <w:bodyDiv w:val="1"/>
      <w:marLeft w:val="0"/>
      <w:marRight w:val="0"/>
      <w:marTop w:val="0"/>
      <w:marBottom w:val="0"/>
      <w:divBdr>
        <w:top w:val="none" w:sz="0" w:space="0" w:color="auto"/>
        <w:left w:val="none" w:sz="0" w:space="0" w:color="auto"/>
        <w:bottom w:val="none" w:sz="0" w:space="0" w:color="auto"/>
        <w:right w:val="none" w:sz="0" w:space="0" w:color="auto"/>
      </w:divBdr>
    </w:div>
    <w:div w:id="742068189">
      <w:bodyDiv w:val="1"/>
      <w:marLeft w:val="0"/>
      <w:marRight w:val="0"/>
      <w:marTop w:val="0"/>
      <w:marBottom w:val="0"/>
      <w:divBdr>
        <w:top w:val="none" w:sz="0" w:space="0" w:color="auto"/>
        <w:left w:val="none" w:sz="0" w:space="0" w:color="auto"/>
        <w:bottom w:val="none" w:sz="0" w:space="0" w:color="auto"/>
        <w:right w:val="none" w:sz="0" w:space="0" w:color="auto"/>
      </w:divBdr>
    </w:div>
    <w:div w:id="762457021">
      <w:bodyDiv w:val="1"/>
      <w:marLeft w:val="0"/>
      <w:marRight w:val="0"/>
      <w:marTop w:val="0"/>
      <w:marBottom w:val="0"/>
      <w:divBdr>
        <w:top w:val="none" w:sz="0" w:space="0" w:color="auto"/>
        <w:left w:val="none" w:sz="0" w:space="0" w:color="auto"/>
        <w:bottom w:val="none" w:sz="0" w:space="0" w:color="auto"/>
        <w:right w:val="none" w:sz="0" w:space="0" w:color="auto"/>
      </w:divBdr>
    </w:div>
    <w:div w:id="764808953">
      <w:bodyDiv w:val="1"/>
      <w:marLeft w:val="0"/>
      <w:marRight w:val="0"/>
      <w:marTop w:val="0"/>
      <w:marBottom w:val="0"/>
      <w:divBdr>
        <w:top w:val="none" w:sz="0" w:space="0" w:color="auto"/>
        <w:left w:val="none" w:sz="0" w:space="0" w:color="auto"/>
        <w:bottom w:val="none" w:sz="0" w:space="0" w:color="auto"/>
        <w:right w:val="none" w:sz="0" w:space="0" w:color="auto"/>
      </w:divBdr>
    </w:div>
    <w:div w:id="773324967">
      <w:bodyDiv w:val="1"/>
      <w:marLeft w:val="0"/>
      <w:marRight w:val="0"/>
      <w:marTop w:val="0"/>
      <w:marBottom w:val="0"/>
      <w:divBdr>
        <w:top w:val="none" w:sz="0" w:space="0" w:color="auto"/>
        <w:left w:val="none" w:sz="0" w:space="0" w:color="auto"/>
        <w:bottom w:val="none" w:sz="0" w:space="0" w:color="auto"/>
        <w:right w:val="none" w:sz="0" w:space="0" w:color="auto"/>
      </w:divBdr>
    </w:div>
    <w:div w:id="782648352">
      <w:bodyDiv w:val="1"/>
      <w:marLeft w:val="0"/>
      <w:marRight w:val="0"/>
      <w:marTop w:val="0"/>
      <w:marBottom w:val="0"/>
      <w:divBdr>
        <w:top w:val="none" w:sz="0" w:space="0" w:color="auto"/>
        <w:left w:val="none" w:sz="0" w:space="0" w:color="auto"/>
        <w:bottom w:val="none" w:sz="0" w:space="0" w:color="auto"/>
        <w:right w:val="none" w:sz="0" w:space="0" w:color="auto"/>
      </w:divBdr>
    </w:div>
    <w:div w:id="790441113">
      <w:bodyDiv w:val="1"/>
      <w:marLeft w:val="0"/>
      <w:marRight w:val="0"/>
      <w:marTop w:val="0"/>
      <w:marBottom w:val="0"/>
      <w:divBdr>
        <w:top w:val="none" w:sz="0" w:space="0" w:color="auto"/>
        <w:left w:val="none" w:sz="0" w:space="0" w:color="auto"/>
        <w:bottom w:val="none" w:sz="0" w:space="0" w:color="auto"/>
        <w:right w:val="none" w:sz="0" w:space="0" w:color="auto"/>
      </w:divBdr>
    </w:div>
    <w:div w:id="791293225">
      <w:bodyDiv w:val="1"/>
      <w:marLeft w:val="0"/>
      <w:marRight w:val="0"/>
      <w:marTop w:val="0"/>
      <w:marBottom w:val="0"/>
      <w:divBdr>
        <w:top w:val="none" w:sz="0" w:space="0" w:color="auto"/>
        <w:left w:val="none" w:sz="0" w:space="0" w:color="auto"/>
        <w:bottom w:val="none" w:sz="0" w:space="0" w:color="auto"/>
        <w:right w:val="none" w:sz="0" w:space="0" w:color="auto"/>
      </w:divBdr>
    </w:div>
    <w:div w:id="791435991">
      <w:bodyDiv w:val="1"/>
      <w:marLeft w:val="0"/>
      <w:marRight w:val="0"/>
      <w:marTop w:val="0"/>
      <w:marBottom w:val="0"/>
      <w:divBdr>
        <w:top w:val="none" w:sz="0" w:space="0" w:color="auto"/>
        <w:left w:val="none" w:sz="0" w:space="0" w:color="auto"/>
        <w:bottom w:val="none" w:sz="0" w:space="0" w:color="auto"/>
        <w:right w:val="none" w:sz="0" w:space="0" w:color="auto"/>
      </w:divBdr>
    </w:div>
    <w:div w:id="809399487">
      <w:bodyDiv w:val="1"/>
      <w:marLeft w:val="0"/>
      <w:marRight w:val="0"/>
      <w:marTop w:val="0"/>
      <w:marBottom w:val="0"/>
      <w:divBdr>
        <w:top w:val="none" w:sz="0" w:space="0" w:color="auto"/>
        <w:left w:val="none" w:sz="0" w:space="0" w:color="auto"/>
        <w:bottom w:val="none" w:sz="0" w:space="0" w:color="auto"/>
        <w:right w:val="none" w:sz="0" w:space="0" w:color="auto"/>
      </w:divBdr>
    </w:div>
    <w:div w:id="810487217">
      <w:bodyDiv w:val="1"/>
      <w:marLeft w:val="0"/>
      <w:marRight w:val="0"/>
      <w:marTop w:val="0"/>
      <w:marBottom w:val="0"/>
      <w:divBdr>
        <w:top w:val="none" w:sz="0" w:space="0" w:color="auto"/>
        <w:left w:val="none" w:sz="0" w:space="0" w:color="auto"/>
        <w:bottom w:val="none" w:sz="0" w:space="0" w:color="auto"/>
        <w:right w:val="none" w:sz="0" w:space="0" w:color="auto"/>
      </w:divBdr>
    </w:div>
    <w:div w:id="821891389">
      <w:bodyDiv w:val="1"/>
      <w:marLeft w:val="0"/>
      <w:marRight w:val="0"/>
      <w:marTop w:val="0"/>
      <w:marBottom w:val="0"/>
      <w:divBdr>
        <w:top w:val="none" w:sz="0" w:space="0" w:color="auto"/>
        <w:left w:val="none" w:sz="0" w:space="0" w:color="auto"/>
        <w:bottom w:val="none" w:sz="0" w:space="0" w:color="auto"/>
        <w:right w:val="none" w:sz="0" w:space="0" w:color="auto"/>
      </w:divBdr>
    </w:div>
    <w:div w:id="835149579">
      <w:bodyDiv w:val="1"/>
      <w:marLeft w:val="0"/>
      <w:marRight w:val="0"/>
      <w:marTop w:val="0"/>
      <w:marBottom w:val="0"/>
      <w:divBdr>
        <w:top w:val="none" w:sz="0" w:space="0" w:color="auto"/>
        <w:left w:val="none" w:sz="0" w:space="0" w:color="auto"/>
        <w:bottom w:val="none" w:sz="0" w:space="0" w:color="auto"/>
        <w:right w:val="none" w:sz="0" w:space="0" w:color="auto"/>
      </w:divBdr>
    </w:div>
    <w:div w:id="856382140">
      <w:bodyDiv w:val="1"/>
      <w:marLeft w:val="0"/>
      <w:marRight w:val="0"/>
      <w:marTop w:val="0"/>
      <w:marBottom w:val="0"/>
      <w:divBdr>
        <w:top w:val="none" w:sz="0" w:space="0" w:color="auto"/>
        <w:left w:val="none" w:sz="0" w:space="0" w:color="auto"/>
        <w:bottom w:val="none" w:sz="0" w:space="0" w:color="auto"/>
        <w:right w:val="none" w:sz="0" w:space="0" w:color="auto"/>
      </w:divBdr>
    </w:div>
    <w:div w:id="860362883">
      <w:bodyDiv w:val="1"/>
      <w:marLeft w:val="0"/>
      <w:marRight w:val="0"/>
      <w:marTop w:val="0"/>
      <w:marBottom w:val="0"/>
      <w:divBdr>
        <w:top w:val="none" w:sz="0" w:space="0" w:color="auto"/>
        <w:left w:val="none" w:sz="0" w:space="0" w:color="auto"/>
        <w:bottom w:val="none" w:sz="0" w:space="0" w:color="auto"/>
        <w:right w:val="none" w:sz="0" w:space="0" w:color="auto"/>
      </w:divBdr>
    </w:div>
    <w:div w:id="860818407">
      <w:bodyDiv w:val="1"/>
      <w:marLeft w:val="0"/>
      <w:marRight w:val="0"/>
      <w:marTop w:val="0"/>
      <w:marBottom w:val="0"/>
      <w:divBdr>
        <w:top w:val="none" w:sz="0" w:space="0" w:color="auto"/>
        <w:left w:val="none" w:sz="0" w:space="0" w:color="auto"/>
        <w:bottom w:val="none" w:sz="0" w:space="0" w:color="auto"/>
        <w:right w:val="none" w:sz="0" w:space="0" w:color="auto"/>
      </w:divBdr>
    </w:div>
    <w:div w:id="873035490">
      <w:bodyDiv w:val="1"/>
      <w:marLeft w:val="0"/>
      <w:marRight w:val="0"/>
      <w:marTop w:val="0"/>
      <w:marBottom w:val="0"/>
      <w:divBdr>
        <w:top w:val="none" w:sz="0" w:space="0" w:color="auto"/>
        <w:left w:val="none" w:sz="0" w:space="0" w:color="auto"/>
        <w:bottom w:val="none" w:sz="0" w:space="0" w:color="auto"/>
        <w:right w:val="none" w:sz="0" w:space="0" w:color="auto"/>
      </w:divBdr>
    </w:div>
    <w:div w:id="873738689">
      <w:bodyDiv w:val="1"/>
      <w:marLeft w:val="0"/>
      <w:marRight w:val="0"/>
      <w:marTop w:val="0"/>
      <w:marBottom w:val="0"/>
      <w:divBdr>
        <w:top w:val="none" w:sz="0" w:space="0" w:color="auto"/>
        <w:left w:val="none" w:sz="0" w:space="0" w:color="auto"/>
        <w:bottom w:val="none" w:sz="0" w:space="0" w:color="auto"/>
        <w:right w:val="none" w:sz="0" w:space="0" w:color="auto"/>
      </w:divBdr>
    </w:div>
    <w:div w:id="881019354">
      <w:bodyDiv w:val="1"/>
      <w:marLeft w:val="0"/>
      <w:marRight w:val="0"/>
      <w:marTop w:val="0"/>
      <w:marBottom w:val="0"/>
      <w:divBdr>
        <w:top w:val="none" w:sz="0" w:space="0" w:color="auto"/>
        <w:left w:val="none" w:sz="0" w:space="0" w:color="auto"/>
        <w:bottom w:val="none" w:sz="0" w:space="0" w:color="auto"/>
        <w:right w:val="none" w:sz="0" w:space="0" w:color="auto"/>
      </w:divBdr>
    </w:div>
    <w:div w:id="884605425">
      <w:bodyDiv w:val="1"/>
      <w:marLeft w:val="0"/>
      <w:marRight w:val="0"/>
      <w:marTop w:val="0"/>
      <w:marBottom w:val="0"/>
      <w:divBdr>
        <w:top w:val="none" w:sz="0" w:space="0" w:color="auto"/>
        <w:left w:val="none" w:sz="0" w:space="0" w:color="auto"/>
        <w:bottom w:val="none" w:sz="0" w:space="0" w:color="auto"/>
        <w:right w:val="none" w:sz="0" w:space="0" w:color="auto"/>
      </w:divBdr>
    </w:div>
    <w:div w:id="888688565">
      <w:bodyDiv w:val="1"/>
      <w:marLeft w:val="0"/>
      <w:marRight w:val="0"/>
      <w:marTop w:val="0"/>
      <w:marBottom w:val="0"/>
      <w:divBdr>
        <w:top w:val="none" w:sz="0" w:space="0" w:color="auto"/>
        <w:left w:val="none" w:sz="0" w:space="0" w:color="auto"/>
        <w:bottom w:val="none" w:sz="0" w:space="0" w:color="auto"/>
        <w:right w:val="none" w:sz="0" w:space="0" w:color="auto"/>
      </w:divBdr>
    </w:div>
    <w:div w:id="891771094">
      <w:bodyDiv w:val="1"/>
      <w:marLeft w:val="0"/>
      <w:marRight w:val="0"/>
      <w:marTop w:val="0"/>
      <w:marBottom w:val="0"/>
      <w:divBdr>
        <w:top w:val="none" w:sz="0" w:space="0" w:color="auto"/>
        <w:left w:val="none" w:sz="0" w:space="0" w:color="auto"/>
        <w:bottom w:val="none" w:sz="0" w:space="0" w:color="auto"/>
        <w:right w:val="none" w:sz="0" w:space="0" w:color="auto"/>
      </w:divBdr>
    </w:div>
    <w:div w:id="899172758">
      <w:bodyDiv w:val="1"/>
      <w:marLeft w:val="0"/>
      <w:marRight w:val="0"/>
      <w:marTop w:val="0"/>
      <w:marBottom w:val="0"/>
      <w:divBdr>
        <w:top w:val="none" w:sz="0" w:space="0" w:color="auto"/>
        <w:left w:val="none" w:sz="0" w:space="0" w:color="auto"/>
        <w:bottom w:val="none" w:sz="0" w:space="0" w:color="auto"/>
        <w:right w:val="none" w:sz="0" w:space="0" w:color="auto"/>
      </w:divBdr>
    </w:div>
    <w:div w:id="910702969">
      <w:bodyDiv w:val="1"/>
      <w:marLeft w:val="0"/>
      <w:marRight w:val="0"/>
      <w:marTop w:val="0"/>
      <w:marBottom w:val="0"/>
      <w:divBdr>
        <w:top w:val="none" w:sz="0" w:space="0" w:color="auto"/>
        <w:left w:val="none" w:sz="0" w:space="0" w:color="auto"/>
        <w:bottom w:val="none" w:sz="0" w:space="0" w:color="auto"/>
        <w:right w:val="none" w:sz="0" w:space="0" w:color="auto"/>
      </w:divBdr>
    </w:div>
    <w:div w:id="911431478">
      <w:bodyDiv w:val="1"/>
      <w:marLeft w:val="0"/>
      <w:marRight w:val="0"/>
      <w:marTop w:val="0"/>
      <w:marBottom w:val="0"/>
      <w:divBdr>
        <w:top w:val="none" w:sz="0" w:space="0" w:color="auto"/>
        <w:left w:val="none" w:sz="0" w:space="0" w:color="auto"/>
        <w:bottom w:val="none" w:sz="0" w:space="0" w:color="auto"/>
        <w:right w:val="none" w:sz="0" w:space="0" w:color="auto"/>
      </w:divBdr>
    </w:div>
    <w:div w:id="919874371">
      <w:bodyDiv w:val="1"/>
      <w:marLeft w:val="0"/>
      <w:marRight w:val="0"/>
      <w:marTop w:val="0"/>
      <w:marBottom w:val="0"/>
      <w:divBdr>
        <w:top w:val="none" w:sz="0" w:space="0" w:color="auto"/>
        <w:left w:val="none" w:sz="0" w:space="0" w:color="auto"/>
        <w:bottom w:val="none" w:sz="0" w:space="0" w:color="auto"/>
        <w:right w:val="none" w:sz="0" w:space="0" w:color="auto"/>
      </w:divBdr>
    </w:div>
    <w:div w:id="933975065">
      <w:bodyDiv w:val="1"/>
      <w:marLeft w:val="0"/>
      <w:marRight w:val="0"/>
      <w:marTop w:val="0"/>
      <w:marBottom w:val="0"/>
      <w:divBdr>
        <w:top w:val="none" w:sz="0" w:space="0" w:color="auto"/>
        <w:left w:val="none" w:sz="0" w:space="0" w:color="auto"/>
        <w:bottom w:val="none" w:sz="0" w:space="0" w:color="auto"/>
        <w:right w:val="none" w:sz="0" w:space="0" w:color="auto"/>
      </w:divBdr>
    </w:div>
    <w:div w:id="947665342">
      <w:bodyDiv w:val="1"/>
      <w:marLeft w:val="0"/>
      <w:marRight w:val="0"/>
      <w:marTop w:val="0"/>
      <w:marBottom w:val="0"/>
      <w:divBdr>
        <w:top w:val="none" w:sz="0" w:space="0" w:color="auto"/>
        <w:left w:val="none" w:sz="0" w:space="0" w:color="auto"/>
        <w:bottom w:val="none" w:sz="0" w:space="0" w:color="auto"/>
        <w:right w:val="none" w:sz="0" w:space="0" w:color="auto"/>
      </w:divBdr>
    </w:div>
    <w:div w:id="948201156">
      <w:bodyDiv w:val="1"/>
      <w:marLeft w:val="0"/>
      <w:marRight w:val="0"/>
      <w:marTop w:val="0"/>
      <w:marBottom w:val="0"/>
      <w:divBdr>
        <w:top w:val="none" w:sz="0" w:space="0" w:color="auto"/>
        <w:left w:val="none" w:sz="0" w:space="0" w:color="auto"/>
        <w:bottom w:val="none" w:sz="0" w:space="0" w:color="auto"/>
        <w:right w:val="none" w:sz="0" w:space="0" w:color="auto"/>
      </w:divBdr>
    </w:div>
    <w:div w:id="961569740">
      <w:bodyDiv w:val="1"/>
      <w:marLeft w:val="0"/>
      <w:marRight w:val="0"/>
      <w:marTop w:val="0"/>
      <w:marBottom w:val="0"/>
      <w:divBdr>
        <w:top w:val="none" w:sz="0" w:space="0" w:color="auto"/>
        <w:left w:val="none" w:sz="0" w:space="0" w:color="auto"/>
        <w:bottom w:val="none" w:sz="0" w:space="0" w:color="auto"/>
        <w:right w:val="none" w:sz="0" w:space="0" w:color="auto"/>
      </w:divBdr>
    </w:div>
    <w:div w:id="963458823">
      <w:bodyDiv w:val="1"/>
      <w:marLeft w:val="0"/>
      <w:marRight w:val="0"/>
      <w:marTop w:val="0"/>
      <w:marBottom w:val="0"/>
      <w:divBdr>
        <w:top w:val="none" w:sz="0" w:space="0" w:color="auto"/>
        <w:left w:val="none" w:sz="0" w:space="0" w:color="auto"/>
        <w:bottom w:val="none" w:sz="0" w:space="0" w:color="auto"/>
        <w:right w:val="none" w:sz="0" w:space="0" w:color="auto"/>
      </w:divBdr>
    </w:div>
    <w:div w:id="963729128">
      <w:bodyDiv w:val="1"/>
      <w:marLeft w:val="0"/>
      <w:marRight w:val="0"/>
      <w:marTop w:val="0"/>
      <w:marBottom w:val="0"/>
      <w:divBdr>
        <w:top w:val="none" w:sz="0" w:space="0" w:color="auto"/>
        <w:left w:val="none" w:sz="0" w:space="0" w:color="auto"/>
        <w:bottom w:val="none" w:sz="0" w:space="0" w:color="auto"/>
        <w:right w:val="none" w:sz="0" w:space="0" w:color="auto"/>
      </w:divBdr>
    </w:div>
    <w:div w:id="970788232">
      <w:bodyDiv w:val="1"/>
      <w:marLeft w:val="0"/>
      <w:marRight w:val="0"/>
      <w:marTop w:val="0"/>
      <w:marBottom w:val="0"/>
      <w:divBdr>
        <w:top w:val="none" w:sz="0" w:space="0" w:color="auto"/>
        <w:left w:val="none" w:sz="0" w:space="0" w:color="auto"/>
        <w:bottom w:val="none" w:sz="0" w:space="0" w:color="auto"/>
        <w:right w:val="none" w:sz="0" w:space="0" w:color="auto"/>
      </w:divBdr>
    </w:div>
    <w:div w:id="984628993">
      <w:bodyDiv w:val="1"/>
      <w:marLeft w:val="0"/>
      <w:marRight w:val="0"/>
      <w:marTop w:val="0"/>
      <w:marBottom w:val="0"/>
      <w:divBdr>
        <w:top w:val="none" w:sz="0" w:space="0" w:color="auto"/>
        <w:left w:val="none" w:sz="0" w:space="0" w:color="auto"/>
        <w:bottom w:val="none" w:sz="0" w:space="0" w:color="auto"/>
        <w:right w:val="none" w:sz="0" w:space="0" w:color="auto"/>
      </w:divBdr>
    </w:div>
    <w:div w:id="986517448">
      <w:bodyDiv w:val="1"/>
      <w:marLeft w:val="0"/>
      <w:marRight w:val="0"/>
      <w:marTop w:val="0"/>
      <w:marBottom w:val="0"/>
      <w:divBdr>
        <w:top w:val="none" w:sz="0" w:space="0" w:color="auto"/>
        <w:left w:val="none" w:sz="0" w:space="0" w:color="auto"/>
        <w:bottom w:val="none" w:sz="0" w:space="0" w:color="auto"/>
        <w:right w:val="none" w:sz="0" w:space="0" w:color="auto"/>
      </w:divBdr>
    </w:div>
    <w:div w:id="987825410">
      <w:bodyDiv w:val="1"/>
      <w:marLeft w:val="0"/>
      <w:marRight w:val="0"/>
      <w:marTop w:val="0"/>
      <w:marBottom w:val="0"/>
      <w:divBdr>
        <w:top w:val="none" w:sz="0" w:space="0" w:color="auto"/>
        <w:left w:val="none" w:sz="0" w:space="0" w:color="auto"/>
        <w:bottom w:val="none" w:sz="0" w:space="0" w:color="auto"/>
        <w:right w:val="none" w:sz="0" w:space="0" w:color="auto"/>
      </w:divBdr>
    </w:div>
    <w:div w:id="1016687004">
      <w:bodyDiv w:val="1"/>
      <w:marLeft w:val="0"/>
      <w:marRight w:val="0"/>
      <w:marTop w:val="0"/>
      <w:marBottom w:val="0"/>
      <w:divBdr>
        <w:top w:val="none" w:sz="0" w:space="0" w:color="auto"/>
        <w:left w:val="none" w:sz="0" w:space="0" w:color="auto"/>
        <w:bottom w:val="none" w:sz="0" w:space="0" w:color="auto"/>
        <w:right w:val="none" w:sz="0" w:space="0" w:color="auto"/>
      </w:divBdr>
    </w:div>
    <w:div w:id="1020741277">
      <w:bodyDiv w:val="1"/>
      <w:marLeft w:val="0"/>
      <w:marRight w:val="0"/>
      <w:marTop w:val="0"/>
      <w:marBottom w:val="0"/>
      <w:divBdr>
        <w:top w:val="none" w:sz="0" w:space="0" w:color="auto"/>
        <w:left w:val="none" w:sz="0" w:space="0" w:color="auto"/>
        <w:bottom w:val="none" w:sz="0" w:space="0" w:color="auto"/>
        <w:right w:val="none" w:sz="0" w:space="0" w:color="auto"/>
      </w:divBdr>
    </w:div>
    <w:div w:id="1023165786">
      <w:bodyDiv w:val="1"/>
      <w:marLeft w:val="0"/>
      <w:marRight w:val="0"/>
      <w:marTop w:val="0"/>
      <w:marBottom w:val="0"/>
      <w:divBdr>
        <w:top w:val="none" w:sz="0" w:space="0" w:color="auto"/>
        <w:left w:val="none" w:sz="0" w:space="0" w:color="auto"/>
        <w:bottom w:val="none" w:sz="0" w:space="0" w:color="auto"/>
        <w:right w:val="none" w:sz="0" w:space="0" w:color="auto"/>
      </w:divBdr>
    </w:div>
    <w:div w:id="1029798824">
      <w:bodyDiv w:val="1"/>
      <w:marLeft w:val="0"/>
      <w:marRight w:val="0"/>
      <w:marTop w:val="0"/>
      <w:marBottom w:val="0"/>
      <w:divBdr>
        <w:top w:val="none" w:sz="0" w:space="0" w:color="auto"/>
        <w:left w:val="none" w:sz="0" w:space="0" w:color="auto"/>
        <w:bottom w:val="none" w:sz="0" w:space="0" w:color="auto"/>
        <w:right w:val="none" w:sz="0" w:space="0" w:color="auto"/>
      </w:divBdr>
    </w:div>
    <w:div w:id="1030372409">
      <w:bodyDiv w:val="1"/>
      <w:marLeft w:val="0"/>
      <w:marRight w:val="0"/>
      <w:marTop w:val="0"/>
      <w:marBottom w:val="0"/>
      <w:divBdr>
        <w:top w:val="none" w:sz="0" w:space="0" w:color="auto"/>
        <w:left w:val="none" w:sz="0" w:space="0" w:color="auto"/>
        <w:bottom w:val="none" w:sz="0" w:space="0" w:color="auto"/>
        <w:right w:val="none" w:sz="0" w:space="0" w:color="auto"/>
      </w:divBdr>
    </w:div>
    <w:div w:id="1032456786">
      <w:bodyDiv w:val="1"/>
      <w:marLeft w:val="0"/>
      <w:marRight w:val="0"/>
      <w:marTop w:val="0"/>
      <w:marBottom w:val="0"/>
      <w:divBdr>
        <w:top w:val="none" w:sz="0" w:space="0" w:color="auto"/>
        <w:left w:val="none" w:sz="0" w:space="0" w:color="auto"/>
        <w:bottom w:val="none" w:sz="0" w:space="0" w:color="auto"/>
        <w:right w:val="none" w:sz="0" w:space="0" w:color="auto"/>
      </w:divBdr>
    </w:div>
    <w:div w:id="1032920980">
      <w:bodyDiv w:val="1"/>
      <w:marLeft w:val="0"/>
      <w:marRight w:val="0"/>
      <w:marTop w:val="0"/>
      <w:marBottom w:val="0"/>
      <w:divBdr>
        <w:top w:val="none" w:sz="0" w:space="0" w:color="auto"/>
        <w:left w:val="none" w:sz="0" w:space="0" w:color="auto"/>
        <w:bottom w:val="none" w:sz="0" w:space="0" w:color="auto"/>
        <w:right w:val="none" w:sz="0" w:space="0" w:color="auto"/>
      </w:divBdr>
    </w:div>
    <w:div w:id="1033724953">
      <w:bodyDiv w:val="1"/>
      <w:marLeft w:val="0"/>
      <w:marRight w:val="0"/>
      <w:marTop w:val="0"/>
      <w:marBottom w:val="0"/>
      <w:divBdr>
        <w:top w:val="none" w:sz="0" w:space="0" w:color="auto"/>
        <w:left w:val="none" w:sz="0" w:space="0" w:color="auto"/>
        <w:bottom w:val="none" w:sz="0" w:space="0" w:color="auto"/>
        <w:right w:val="none" w:sz="0" w:space="0" w:color="auto"/>
      </w:divBdr>
    </w:div>
    <w:div w:id="1053775703">
      <w:bodyDiv w:val="1"/>
      <w:marLeft w:val="0"/>
      <w:marRight w:val="0"/>
      <w:marTop w:val="0"/>
      <w:marBottom w:val="0"/>
      <w:divBdr>
        <w:top w:val="none" w:sz="0" w:space="0" w:color="auto"/>
        <w:left w:val="none" w:sz="0" w:space="0" w:color="auto"/>
        <w:bottom w:val="none" w:sz="0" w:space="0" w:color="auto"/>
        <w:right w:val="none" w:sz="0" w:space="0" w:color="auto"/>
      </w:divBdr>
    </w:div>
    <w:div w:id="1055548077">
      <w:bodyDiv w:val="1"/>
      <w:marLeft w:val="0"/>
      <w:marRight w:val="0"/>
      <w:marTop w:val="0"/>
      <w:marBottom w:val="0"/>
      <w:divBdr>
        <w:top w:val="none" w:sz="0" w:space="0" w:color="auto"/>
        <w:left w:val="none" w:sz="0" w:space="0" w:color="auto"/>
        <w:bottom w:val="none" w:sz="0" w:space="0" w:color="auto"/>
        <w:right w:val="none" w:sz="0" w:space="0" w:color="auto"/>
      </w:divBdr>
    </w:div>
    <w:div w:id="1061825559">
      <w:bodyDiv w:val="1"/>
      <w:marLeft w:val="0"/>
      <w:marRight w:val="0"/>
      <w:marTop w:val="0"/>
      <w:marBottom w:val="0"/>
      <w:divBdr>
        <w:top w:val="none" w:sz="0" w:space="0" w:color="auto"/>
        <w:left w:val="none" w:sz="0" w:space="0" w:color="auto"/>
        <w:bottom w:val="none" w:sz="0" w:space="0" w:color="auto"/>
        <w:right w:val="none" w:sz="0" w:space="0" w:color="auto"/>
      </w:divBdr>
    </w:div>
    <w:div w:id="1065681766">
      <w:bodyDiv w:val="1"/>
      <w:marLeft w:val="0"/>
      <w:marRight w:val="0"/>
      <w:marTop w:val="0"/>
      <w:marBottom w:val="0"/>
      <w:divBdr>
        <w:top w:val="none" w:sz="0" w:space="0" w:color="auto"/>
        <w:left w:val="none" w:sz="0" w:space="0" w:color="auto"/>
        <w:bottom w:val="none" w:sz="0" w:space="0" w:color="auto"/>
        <w:right w:val="none" w:sz="0" w:space="0" w:color="auto"/>
      </w:divBdr>
    </w:div>
    <w:div w:id="1067727345">
      <w:bodyDiv w:val="1"/>
      <w:marLeft w:val="0"/>
      <w:marRight w:val="0"/>
      <w:marTop w:val="0"/>
      <w:marBottom w:val="0"/>
      <w:divBdr>
        <w:top w:val="none" w:sz="0" w:space="0" w:color="auto"/>
        <w:left w:val="none" w:sz="0" w:space="0" w:color="auto"/>
        <w:bottom w:val="none" w:sz="0" w:space="0" w:color="auto"/>
        <w:right w:val="none" w:sz="0" w:space="0" w:color="auto"/>
      </w:divBdr>
    </w:div>
    <w:div w:id="1073821035">
      <w:bodyDiv w:val="1"/>
      <w:marLeft w:val="0"/>
      <w:marRight w:val="0"/>
      <w:marTop w:val="0"/>
      <w:marBottom w:val="0"/>
      <w:divBdr>
        <w:top w:val="none" w:sz="0" w:space="0" w:color="auto"/>
        <w:left w:val="none" w:sz="0" w:space="0" w:color="auto"/>
        <w:bottom w:val="none" w:sz="0" w:space="0" w:color="auto"/>
        <w:right w:val="none" w:sz="0" w:space="0" w:color="auto"/>
      </w:divBdr>
    </w:div>
    <w:div w:id="1079868969">
      <w:bodyDiv w:val="1"/>
      <w:marLeft w:val="0"/>
      <w:marRight w:val="0"/>
      <w:marTop w:val="0"/>
      <w:marBottom w:val="0"/>
      <w:divBdr>
        <w:top w:val="none" w:sz="0" w:space="0" w:color="auto"/>
        <w:left w:val="none" w:sz="0" w:space="0" w:color="auto"/>
        <w:bottom w:val="none" w:sz="0" w:space="0" w:color="auto"/>
        <w:right w:val="none" w:sz="0" w:space="0" w:color="auto"/>
      </w:divBdr>
    </w:div>
    <w:div w:id="1086614378">
      <w:bodyDiv w:val="1"/>
      <w:marLeft w:val="0"/>
      <w:marRight w:val="0"/>
      <w:marTop w:val="0"/>
      <w:marBottom w:val="0"/>
      <w:divBdr>
        <w:top w:val="none" w:sz="0" w:space="0" w:color="auto"/>
        <w:left w:val="none" w:sz="0" w:space="0" w:color="auto"/>
        <w:bottom w:val="none" w:sz="0" w:space="0" w:color="auto"/>
        <w:right w:val="none" w:sz="0" w:space="0" w:color="auto"/>
      </w:divBdr>
    </w:div>
    <w:div w:id="1088385726">
      <w:bodyDiv w:val="1"/>
      <w:marLeft w:val="0"/>
      <w:marRight w:val="0"/>
      <w:marTop w:val="0"/>
      <w:marBottom w:val="0"/>
      <w:divBdr>
        <w:top w:val="none" w:sz="0" w:space="0" w:color="auto"/>
        <w:left w:val="none" w:sz="0" w:space="0" w:color="auto"/>
        <w:bottom w:val="none" w:sz="0" w:space="0" w:color="auto"/>
        <w:right w:val="none" w:sz="0" w:space="0" w:color="auto"/>
      </w:divBdr>
    </w:div>
    <w:div w:id="1090393107">
      <w:bodyDiv w:val="1"/>
      <w:marLeft w:val="0"/>
      <w:marRight w:val="0"/>
      <w:marTop w:val="0"/>
      <w:marBottom w:val="0"/>
      <w:divBdr>
        <w:top w:val="none" w:sz="0" w:space="0" w:color="auto"/>
        <w:left w:val="none" w:sz="0" w:space="0" w:color="auto"/>
        <w:bottom w:val="none" w:sz="0" w:space="0" w:color="auto"/>
        <w:right w:val="none" w:sz="0" w:space="0" w:color="auto"/>
      </w:divBdr>
    </w:div>
    <w:div w:id="1099105578">
      <w:bodyDiv w:val="1"/>
      <w:marLeft w:val="0"/>
      <w:marRight w:val="0"/>
      <w:marTop w:val="0"/>
      <w:marBottom w:val="0"/>
      <w:divBdr>
        <w:top w:val="none" w:sz="0" w:space="0" w:color="auto"/>
        <w:left w:val="none" w:sz="0" w:space="0" w:color="auto"/>
        <w:bottom w:val="none" w:sz="0" w:space="0" w:color="auto"/>
        <w:right w:val="none" w:sz="0" w:space="0" w:color="auto"/>
      </w:divBdr>
    </w:div>
    <w:div w:id="1099526431">
      <w:bodyDiv w:val="1"/>
      <w:marLeft w:val="0"/>
      <w:marRight w:val="0"/>
      <w:marTop w:val="0"/>
      <w:marBottom w:val="0"/>
      <w:divBdr>
        <w:top w:val="none" w:sz="0" w:space="0" w:color="auto"/>
        <w:left w:val="none" w:sz="0" w:space="0" w:color="auto"/>
        <w:bottom w:val="none" w:sz="0" w:space="0" w:color="auto"/>
        <w:right w:val="none" w:sz="0" w:space="0" w:color="auto"/>
      </w:divBdr>
    </w:div>
    <w:div w:id="1112742787">
      <w:bodyDiv w:val="1"/>
      <w:marLeft w:val="0"/>
      <w:marRight w:val="0"/>
      <w:marTop w:val="0"/>
      <w:marBottom w:val="0"/>
      <w:divBdr>
        <w:top w:val="none" w:sz="0" w:space="0" w:color="auto"/>
        <w:left w:val="none" w:sz="0" w:space="0" w:color="auto"/>
        <w:bottom w:val="none" w:sz="0" w:space="0" w:color="auto"/>
        <w:right w:val="none" w:sz="0" w:space="0" w:color="auto"/>
      </w:divBdr>
    </w:div>
    <w:div w:id="1124927951">
      <w:bodyDiv w:val="1"/>
      <w:marLeft w:val="0"/>
      <w:marRight w:val="0"/>
      <w:marTop w:val="0"/>
      <w:marBottom w:val="0"/>
      <w:divBdr>
        <w:top w:val="none" w:sz="0" w:space="0" w:color="auto"/>
        <w:left w:val="none" w:sz="0" w:space="0" w:color="auto"/>
        <w:bottom w:val="none" w:sz="0" w:space="0" w:color="auto"/>
        <w:right w:val="none" w:sz="0" w:space="0" w:color="auto"/>
      </w:divBdr>
    </w:div>
    <w:div w:id="1135173684">
      <w:bodyDiv w:val="1"/>
      <w:marLeft w:val="0"/>
      <w:marRight w:val="0"/>
      <w:marTop w:val="0"/>
      <w:marBottom w:val="0"/>
      <w:divBdr>
        <w:top w:val="none" w:sz="0" w:space="0" w:color="auto"/>
        <w:left w:val="none" w:sz="0" w:space="0" w:color="auto"/>
        <w:bottom w:val="none" w:sz="0" w:space="0" w:color="auto"/>
        <w:right w:val="none" w:sz="0" w:space="0" w:color="auto"/>
      </w:divBdr>
    </w:div>
    <w:div w:id="1136486656">
      <w:bodyDiv w:val="1"/>
      <w:marLeft w:val="0"/>
      <w:marRight w:val="0"/>
      <w:marTop w:val="0"/>
      <w:marBottom w:val="0"/>
      <w:divBdr>
        <w:top w:val="none" w:sz="0" w:space="0" w:color="auto"/>
        <w:left w:val="none" w:sz="0" w:space="0" w:color="auto"/>
        <w:bottom w:val="none" w:sz="0" w:space="0" w:color="auto"/>
        <w:right w:val="none" w:sz="0" w:space="0" w:color="auto"/>
      </w:divBdr>
    </w:div>
    <w:div w:id="1141076946">
      <w:bodyDiv w:val="1"/>
      <w:marLeft w:val="0"/>
      <w:marRight w:val="0"/>
      <w:marTop w:val="0"/>
      <w:marBottom w:val="0"/>
      <w:divBdr>
        <w:top w:val="none" w:sz="0" w:space="0" w:color="auto"/>
        <w:left w:val="none" w:sz="0" w:space="0" w:color="auto"/>
        <w:bottom w:val="none" w:sz="0" w:space="0" w:color="auto"/>
        <w:right w:val="none" w:sz="0" w:space="0" w:color="auto"/>
      </w:divBdr>
    </w:div>
    <w:div w:id="1143230193">
      <w:bodyDiv w:val="1"/>
      <w:marLeft w:val="0"/>
      <w:marRight w:val="0"/>
      <w:marTop w:val="0"/>
      <w:marBottom w:val="0"/>
      <w:divBdr>
        <w:top w:val="none" w:sz="0" w:space="0" w:color="auto"/>
        <w:left w:val="none" w:sz="0" w:space="0" w:color="auto"/>
        <w:bottom w:val="none" w:sz="0" w:space="0" w:color="auto"/>
        <w:right w:val="none" w:sz="0" w:space="0" w:color="auto"/>
      </w:divBdr>
    </w:div>
    <w:div w:id="1145665054">
      <w:bodyDiv w:val="1"/>
      <w:marLeft w:val="0"/>
      <w:marRight w:val="0"/>
      <w:marTop w:val="0"/>
      <w:marBottom w:val="0"/>
      <w:divBdr>
        <w:top w:val="none" w:sz="0" w:space="0" w:color="auto"/>
        <w:left w:val="none" w:sz="0" w:space="0" w:color="auto"/>
        <w:bottom w:val="none" w:sz="0" w:space="0" w:color="auto"/>
        <w:right w:val="none" w:sz="0" w:space="0" w:color="auto"/>
      </w:divBdr>
    </w:div>
    <w:div w:id="1151210829">
      <w:bodyDiv w:val="1"/>
      <w:marLeft w:val="0"/>
      <w:marRight w:val="0"/>
      <w:marTop w:val="0"/>
      <w:marBottom w:val="0"/>
      <w:divBdr>
        <w:top w:val="none" w:sz="0" w:space="0" w:color="auto"/>
        <w:left w:val="none" w:sz="0" w:space="0" w:color="auto"/>
        <w:bottom w:val="none" w:sz="0" w:space="0" w:color="auto"/>
        <w:right w:val="none" w:sz="0" w:space="0" w:color="auto"/>
      </w:divBdr>
    </w:div>
    <w:div w:id="1154570922">
      <w:bodyDiv w:val="1"/>
      <w:marLeft w:val="0"/>
      <w:marRight w:val="0"/>
      <w:marTop w:val="0"/>
      <w:marBottom w:val="0"/>
      <w:divBdr>
        <w:top w:val="none" w:sz="0" w:space="0" w:color="auto"/>
        <w:left w:val="none" w:sz="0" w:space="0" w:color="auto"/>
        <w:bottom w:val="none" w:sz="0" w:space="0" w:color="auto"/>
        <w:right w:val="none" w:sz="0" w:space="0" w:color="auto"/>
      </w:divBdr>
    </w:div>
    <w:div w:id="1160192092">
      <w:bodyDiv w:val="1"/>
      <w:marLeft w:val="0"/>
      <w:marRight w:val="0"/>
      <w:marTop w:val="0"/>
      <w:marBottom w:val="0"/>
      <w:divBdr>
        <w:top w:val="none" w:sz="0" w:space="0" w:color="auto"/>
        <w:left w:val="none" w:sz="0" w:space="0" w:color="auto"/>
        <w:bottom w:val="none" w:sz="0" w:space="0" w:color="auto"/>
        <w:right w:val="none" w:sz="0" w:space="0" w:color="auto"/>
      </w:divBdr>
    </w:div>
    <w:div w:id="1161773375">
      <w:bodyDiv w:val="1"/>
      <w:marLeft w:val="0"/>
      <w:marRight w:val="0"/>
      <w:marTop w:val="0"/>
      <w:marBottom w:val="0"/>
      <w:divBdr>
        <w:top w:val="none" w:sz="0" w:space="0" w:color="auto"/>
        <w:left w:val="none" w:sz="0" w:space="0" w:color="auto"/>
        <w:bottom w:val="none" w:sz="0" w:space="0" w:color="auto"/>
        <w:right w:val="none" w:sz="0" w:space="0" w:color="auto"/>
      </w:divBdr>
    </w:div>
    <w:div w:id="1167598357">
      <w:bodyDiv w:val="1"/>
      <w:marLeft w:val="0"/>
      <w:marRight w:val="0"/>
      <w:marTop w:val="0"/>
      <w:marBottom w:val="0"/>
      <w:divBdr>
        <w:top w:val="none" w:sz="0" w:space="0" w:color="auto"/>
        <w:left w:val="none" w:sz="0" w:space="0" w:color="auto"/>
        <w:bottom w:val="none" w:sz="0" w:space="0" w:color="auto"/>
        <w:right w:val="none" w:sz="0" w:space="0" w:color="auto"/>
      </w:divBdr>
    </w:div>
    <w:div w:id="1175263036">
      <w:bodyDiv w:val="1"/>
      <w:marLeft w:val="0"/>
      <w:marRight w:val="0"/>
      <w:marTop w:val="0"/>
      <w:marBottom w:val="0"/>
      <w:divBdr>
        <w:top w:val="none" w:sz="0" w:space="0" w:color="auto"/>
        <w:left w:val="none" w:sz="0" w:space="0" w:color="auto"/>
        <w:bottom w:val="none" w:sz="0" w:space="0" w:color="auto"/>
        <w:right w:val="none" w:sz="0" w:space="0" w:color="auto"/>
      </w:divBdr>
    </w:div>
    <w:div w:id="1177572037">
      <w:bodyDiv w:val="1"/>
      <w:marLeft w:val="0"/>
      <w:marRight w:val="0"/>
      <w:marTop w:val="0"/>
      <w:marBottom w:val="0"/>
      <w:divBdr>
        <w:top w:val="none" w:sz="0" w:space="0" w:color="auto"/>
        <w:left w:val="none" w:sz="0" w:space="0" w:color="auto"/>
        <w:bottom w:val="none" w:sz="0" w:space="0" w:color="auto"/>
        <w:right w:val="none" w:sz="0" w:space="0" w:color="auto"/>
      </w:divBdr>
    </w:div>
    <w:div w:id="1183857124">
      <w:bodyDiv w:val="1"/>
      <w:marLeft w:val="0"/>
      <w:marRight w:val="0"/>
      <w:marTop w:val="0"/>
      <w:marBottom w:val="0"/>
      <w:divBdr>
        <w:top w:val="none" w:sz="0" w:space="0" w:color="auto"/>
        <w:left w:val="none" w:sz="0" w:space="0" w:color="auto"/>
        <w:bottom w:val="none" w:sz="0" w:space="0" w:color="auto"/>
        <w:right w:val="none" w:sz="0" w:space="0" w:color="auto"/>
      </w:divBdr>
    </w:div>
    <w:div w:id="1185480753">
      <w:bodyDiv w:val="1"/>
      <w:marLeft w:val="0"/>
      <w:marRight w:val="0"/>
      <w:marTop w:val="0"/>
      <w:marBottom w:val="0"/>
      <w:divBdr>
        <w:top w:val="none" w:sz="0" w:space="0" w:color="auto"/>
        <w:left w:val="none" w:sz="0" w:space="0" w:color="auto"/>
        <w:bottom w:val="none" w:sz="0" w:space="0" w:color="auto"/>
        <w:right w:val="none" w:sz="0" w:space="0" w:color="auto"/>
      </w:divBdr>
    </w:div>
    <w:div w:id="1186362526">
      <w:bodyDiv w:val="1"/>
      <w:marLeft w:val="0"/>
      <w:marRight w:val="0"/>
      <w:marTop w:val="0"/>
      <w:marBottom w:val="0"/>
      <w:divBdr>
        <w:top w:val="none" w:sz="0" w:space="0" w:color="auto"/>
        <w:left w:val="none" w:sz="0" w:space="0" w:color="auto"/>
        <w:bottom w:val="none" w:sz="0" w:space="0" w:color="auto"/>
        <w:right w:val="none" w:sz="0" w:space="0" w:color="auto"/>
      </w:divBdr>
    </w:div>
    <w:div w:id="1195844233">
      <w:bodyDiv w:val="1"/>
      <w:marLeft w:val="0"/>
      <w:marRight w:val="0"/>
      <w:marTop w:val="0"/>
      <w:marBottom w:val="0"/>
      <w:divBdr>
        <w:top w:val="none" w:sz="0" w:space="0" w:color="auto"/>
        <w:left w:val="none" w:sz="0" w:space="0" w:color="auto"/>
        <w:bottom w:val="none" w:sz="0" w:space="0" w:color="auto"/>
        <w:right w:val="none" w:sz="0" w:space="0" w:color="auto"/>
      </w:divBdr>
    </w:div>
    <w:div w:id="1222208569">
      <w:bodyDiv w:val="1"/>
      <w:marLeft w:val="0"/>
      <w:marRight w:val="0"/>
      <w:marTop w:val="0"/>
      <w:marBottom w:val="0"/>
      <w:divBdr>
        <w:top w:val="none" w:sz="0" w:space="0" w:color="auto"/>
        <w:left w:val="none" w:sz="0" w:space="0" w:color="auto"/>
        <w:bottom w:val="none" w:sz="0" w:space="0" w:color="auto"/>
        <w:right w:val="none" w:sz="0" w:space="0" w:color="auto"/>
      </w:divBdr>
    </w:div>
    <w:div w:id="1223440105">
      <w:bodyDiv w:val="1"/>
      <w:marLeft w:val="0"/>
      <w:marRight w:val="0"/>
      <w:marTop w:val="0"/>
      <w:marBottom w:val="0"/>
      <w:divBdr>
        <w:top w:val="none" w:sz="0" w:space="0" w:color="auto"/>
        <w:left w:val="none" w:sz="0" w:space="0" w:color="auto"/>
        <w:bottom w:val="none" w:sz="0" w:space="0" w:color="auto"/>
        <w:right w:val="none" w:sz="0" w:space="0" w:color="auto"/>
      </w:divBdr>
    </w:div>
    <w:div w:id="1224172890">
      <w:bodyDiv w:val="1"/>
      <w:marLeft w:val="0"/>
      <w:marRight w:val="0"/>
      <w:marTop w:val="0"/>
      <w:marBottom w:val="0"/>
      <w:divBdr>
        <w:top w:val="none" w:sz="0" w:space="0" w:color="auto"/>
        <w:left w:val="none" w:sz="0" w:space="0" w:color="auto"/>
        <w:bottom w:val="none" w:sz="0" w:space="0" w:color="auto"/>
        <w:right w:val="none" w:sz="0" w:space="0" w:color="auto"/>
      </w:divBdr>
    </w:div>
    <w:div w:id="1229658011">
      <w:bodyDiv w:val="1"/>
      <w:marLeft w:val="0"/>
      <w:marRight w:val="0"/>
      <w:marTop w:val="0"/>
      <w:marBottom w:val="0"/>
      <w:divBdr>
        <w:top w:val="none" w:sz="0" w:space="0" w:color="auto"/>
        <w:left w:val="none" w:sz="0" w:space="0" w:color="auto"/>
        <w:bottom w:val="none" w:sz="0" w:space="0" w:color="auto"/>
        <w:right w:val="none" w:sz="0" w:space="0" w:color="auto"/>
      </w:divBdr>
    </w:div>
    <w:div w:id="1233929317">
      <w:bodyDiv w:val="1"/>
      <w:marLeft w:val="0"/>
      <w:marRight w:val="0"/>
      <w:marTop w:val="0"/>
      <w:marBottom w:val="0"/>
      <w:divBdr>
        <w:top w:val="none" w:sz="0" w:space="0" w:color="auto"/>
        <w:left w:val="none" w:sz="0" w:space="0" w:color="auto"/>
        <w:bottom w:val="none" w:sz="0" w:space="0" w:color="auto"/>
        <w:right w:val="none" w:sz="0" w:space="0" w:color="auto"/>
      </w:divBdr>
    </w:div>
    <w:div w:id="1241063113">
      <w:bodyDiv w:val="1"/>
      <w:marLeft w:val="0"/>
      <w:marRight w:val="0"/>
      <w:marTop w:val="0"/>
      <w:marBottom w:val="0"/>
      <w:divBdr>
        <w:top w:val="none" w:sz="0" w:space="0" w:color="auto"/>
        <w:left w:val="none" w:sz="0" w:space="0" w:color="auto"/>
        <w:bottom w:val="none" w:sz="0" w:space="0" w:color="auto"/>
        <w:right w:val="none" w:sz="0" w:space="0" w:color="auto"/>
      </w:divBdr>
    </w:div>
    <w:div w:id="1270821302">
      <w:bodyDiv w:val="1"/>
      <w:marLeft w:val="0"/>
      <w:marRight w:val="0"/>
      <w:marTop w:val="0"/>
      <w:marBottom w:val="0"/>
      <w:divBdr>
        <w:top w:val="none" w:sz="0" w:space="0" w:color="auto"/>
        <w:left w:val="none" w:sz="0" w:space="0" w:color="auto"/>
        <w:bottom w:val="none" w:sz="0" w:space="0" w:color="auto"/>
        <w:right w:val="none" w:sz="0" w:space="0" w:color="auto"/>
      </w:divBdr>
    </w:div>
    <w:div w:id="1270967085">
      <w:bodyDiv w:val="1"/>
      <w:marLeft w:val="0"/>
      <w:marRight w:val="0"/>
      <w:marTop w:val="0"/>
      <w:marBottom w:val="0"/>
      <w:divBdr>
        <w:top w:val="none" w:sz="0" w:space="0" w:color="auto"/>
        <w:left w:val="none" w:sz="0" w:space="0" w:color="auto"/>
        <w:bottom w:val="none" w:sz="0" w:space="0" w:color="auto"/>
        <w:right w:val="none" w:sz="0" w:space="0" w:color="auto"/>
      </w:divBdr>
    </w:div>
    <w:div w:id="1271353266">
      <w:bodyDiv w:val="1"/>
      <w:marLeft w:val="0"/>
      <w:marRight w:val="0"/>
      <w:marTop w:val="0"/>
      <w:marBottom w:val="0"/>
      <w:divBdr>
        <w:top w:val="none" w:sz="0" w:space="0" w:color="auto"/>
        <w:left w:val="none" w:sz="0" w:space="0" w:color="auto"/>
        <w:bottom w:val="none" w:sz="0" w:space="0" w:color="auto"/>
        <w:right w:val="none" w:sz="0" w:space="0" w:color="auto"/>
      </w:divBdr>
    </w:div>
    <w:div w:id="1297175814">
      <w:bodyDiv w:val="1"/>
      <w:marLeft w:val="0"/>
      <w:marRight w:val="0"/>
      <w:marTop w:val="0"/>
      <w:marBottom w:val="0"/>
      <w:divBdr>
        <w:top w:val="none" w:sz="0" w:space="0" w:color="auto"/>
        <w:left w:val="none" w:sz="0" w:space="0" w:color="auto"/>
        <w:bottom w:val="none" w:sz="0" w:space="0" w:color="auto"/>
        <w:right w:val="none" w:sz="0" w:space="0" w:color="auto"/>
      </w:divBdr>
    </w:div>
    <w:div w:id="1312710870">
      <w:bodyDiv w:val="1"/>
      <w:marLeft w:val="0"/>
      <w:marRight w:val="0"/>
      <w:marTop w:val="0"/>
      <w:marBottom w:val="0"/>
      <w:divBdr>
        <w:top w:val="none" w:sz="0" w:space="0" w:color="auto"/>
        <w:left w:val="none" w:sz="0" w:space="0" w:color="auto"/>
        <w:bottom w:val="none" w:sz="0" w:space="0" w:color="auto"/>
        <w:right w:val="none" w:sz="0" w:space="0" w:color="auto"/>
      </w:divBdr>
    </w:div>
    <w:div w:id="1317413409">
      <w:bodyDiv w:val="1"/>
      <w:marLeft w:val="0"/>
      <w:marRight w:val="0"/>
      <w:marTop w:val="0"/>
      <w:marBottom w:val="0"/>
      <w:divBdr>
        <w:top w:val="none" w:sz="0" w:space="0" w:color="auto"/>
        <w:left w:val="none" w:sz="0" w:space="0" w:color="auto"/>
        <w:bottom w:val="none" w:sz="0" w:space="0" w:color="auto"/>
        <w:right w:val="none" w:sz="0" w:space="0" w:color="auto"/>
      </w:divBdr>
    </w:div>
    <w:div w:id="1344551998">
      <w:bodyDiv w:val="1"/>
      <w:marLeft w:val="0"/>
      <w:marRight w:val="0"/>
      <w:marTop w:val="0"/>
      <w:marBottom w:val="0"/>
      <w:divBdr>
        <w:top w:val="none" w:sz="0" w:space="0" w:color="auto"/>
        <w:left w:val="none" w:sz="0" w:space="0" w:color="auto"/>
        <w:bottom w:val="none" w:sz="0" w:space="0" w:color="auto"/>
        <w:right w:val="none" w:sz="0" w:space="0" w:color="auto"/>
      </w:divBdr>
    </w:div>
    <w:div w:id="1345211432">
      <w:bodyDiv w:val="1"/>
      <w:marLeft w:val="0"/>
      <w:marRight w:val="0"/>
      <w:marTop w:val="0"/>
      <w:marBottom w:val="0"/>
      <w:divBdr>
        <w:top w:val="none" w:sz="0" w:space="0" w:color="auto"/>
        <w:left w:val="none" w:sz="0" w:space="0" w:color="auto"/>
        <w:bottom w:val="none" w:sz="0" w:space="0" w:color="auto"/>
        <w:right w:val="none" w:sz="0" w:space="0" w:color="auto"/>
      </w:divBdr>
    </w:div>
    <w:div w:id="1350714286">
      <w:bodyDiv w:val="1"/>
      <w:marLeft w:val="0"/>
      <w:marRight w:val="0"/>
      <w:marTop w:val="0"/>
      <w:marBottom w:val="0"/>
      <w:divBdr>
        <w:top w:val="none" w:sz="0" w:space="0" w:color="auto"/>
        <w:left w:val="none" w:sz="0" w:space="0" w:color="auto"/>
        <w:bottom w:val="none" w:sz="0" w:space="0" w:color="auto"/>
        <w:right w:val="none" w:sz="0" w:space="0" w:color="auto"/>
      </w:divBdr>
    </w:div>
    <w:div w:id="1351489344">
      <w:bodyDiv w:val="1"/>
      <w:marLeft w:val="0"/>
      <w:marRight w:val="0"/>
      <w:marTop w:val="0"/>
      <w:marBottom w:val="0"/>
      <w:divBdr>
        <w:top w:val="none" w:sz="0" w:space="0" w:color="auto"/>
        <w:left w:val="none" w:sz="0" w:space="0" w:color="auto"/>
        <w:bottom w:val="none" w:sz="0" w:space="0" w:color="auto"/>
        <w:right w:val="none" w:sz="0" w:space="0" w:color="auto"/>
      </w:divBdr>
    </w:div>
    <w:div w:id="1362391664">
      <w:bodyDiv w:val="1"/>
      <w:marLeft w:val="0"/>
      <w:marRight w:val="0"/>
      <w:marTop w:val="0"/>
      <w:marBottom w:val="0"/>
      <w:divBdr>
        <w:top w:val="none" w:sz="0" w:space="0" w:color="auto"/>
        <w:left w:val="none" w:sz="0" w:space="0" w:color="auto"/>
        <w:bottom w:val="none" w:sz="0" w:space="0" w:color="auto"/>
        <w:right w:val="none" w:sz="0" w:space="0" w:color="auto"/>
      </w:divBdr>
    </w:div>
    <w:div w:id="1363478574">
      <w:bodyDiv w:val="1"/>
      <w:marLeft w:val="0"/>
      <w:marRight w:val="0"/>
      <w:marTop w:val="0"/>
      <w:marBottom w:val="0"/>
      <w:divBdr>
        <w:top w:val="none" w:sz="0" w:space="0" w:color="auto"/>
        <w:left w:val="none" w:sz="0" w:space="0" w:color="auto"/>
        <w:bottom w:val="none" w:sz="0" w:space="0" w:color="auto"/>
        <w:right w:val="none" w:sz="0" w:space="0" w:color="auto"/>
      </w:divBdr>
    </w:div>
    <w:div w:id="1369263117">
      <w:bodyDiv w:val="1"/>
      <w:marLeft w:val="0"/>
      <w:marRight w:val="0"/>
      <w:marTop w:val="0"/>
      <w:marBottom w:val="0"/>
      <w:divBdr>
        <w:top w:val="none" w:sz="0" w:space="0" w:color="auto"/>
        <w:left w:val="none" w:sz="0" w:space="0" w:color="auto"/>
        <w:bottom w:val="none" w:sz="0" w:space="0" w:color="auto"/>
        <w:right w:val="none" w:sz="0" w:space="0" w:color="auto"/>
      </w:divBdr>
    </w:div>
    <w:div w:id="1387950518">
      <w:bodyDiv w:val="1"/>
      <w:marLeft w:val="0"/>
      <w:marRight w:val="0"/>
      <w:marTop w:val="0"/>
      <w:marBottom w:val="0"/>
      <w:divBdr>
        <w:top w:val="none" w:sz="0" w:space="0" w:color="auto"/>
        <w:left w:val="none" w:sz="0" w:space="0" w:color="auto"/>
        <w:bottom w:val="none" w:sz="0" w:space="0" w:color="auto"/>
        <w:right w:val="none" w:sz="0" w:space="0" w:color="auto"/>
      </w:divBdr>
    </w:div>
    <w:div w:id="1388265291">
      <w:bodyDiv w:val="1"/>
      <w:marLeft w:val="0"/>
      <w:marRight w:val="0"/>
      <w:marTop w:val="0"/>
      <w:marBottom w:val="0"/>
      <w:divBdr>
        <w:top w:val="none" w:sz="0" w:space="0" w:color="auto"/>
        <w:left w:val="none" w:sz="0" w:space="0" w:color="auto"/>
        <w:bottom w:val="none" w:sz="0" w:space="0" w:color="auto"/>
        <w:right w:val="none" w:sz="0" w:space="0" w:color="auto"/>
      </w:divBdr>
    </w:div>
    <w:div w:id="1396582590">
      <w:bodyDiv w:val="1"/>
      <w:marLeft w:val="0"/>
      <w:marRight w:val="0"/>
      <w:marTop w:val="0"/>
      <w:marBottom w:val="0"/>
      <w:divBdr>
        <w:top w:val="none" w:sz="0" w:space="0" w:color="auto"/>
        <w:left w:val="none" w:sz="0" w:space="0" w:color="auto"/>
        <w:bottom w:val="none" w:sz="0" w:space="0" w:color="auto"/>
        <w:right w:val="none" w:sz="0" w:space="0" w:color="auto"/>
      </w:divBdr>
    </w:div>
    <w:div w:id="1400516230">
      <w:bodyDiv w:val="1"/>
      <w:marLeft w:val="0"/>
      <w:marRight w:val="0"/>
      <w:marTop w:val="0"/>
      <w:marBottom w:val="0"/>
      <w:divBdr>
        <w:top w:val="none" w:sz="0" w:space="0" w:color="auto"/>
        <w:left w:val="none" w:sz="0" w:space="0" w:color="auto"/>
        <w:bottom w:val="none" w:sz="0" w:space="0" w:color="auto"/>
        <w:right w:val="none" w:sz="0" w:space="0" w:color="auto"/>
      </w:divBdr>
    </w:div>
    <w:div w:id="1400665827">
      <w:bodyDiv w:val="1"/>
      <w:marLeft w:val="0"/>
      <w:marRight w:val="0"/>
      <w:marTop w:val="0"/>
      <w:marBottom w:val="0"/>
      <w:divBdr>
        <w:top w:val="none" w:sz="0" w:space="0" w:color="auto"/>
        <w:left w:val="none" w:sz="0" w:space="0" w:color="auto"/>
        <w:bottom w:val="none" w:sz="0" w:space="0" w:color="auto"/>
        <w:right w:val="none" w:sz="0" w:space="0" w:color="auto"/>
      </w:divBdr>
    </w:div>
    <w:div w:id="1429736690">
      <w:bodyDiv w:val="1"/>
      <w:marLeft w:val="0"/>
      <w:marRight w:val="0"/>
      <w:marTop w:val="0"/>
      <w:marBottom w:val="0"/>
      <w:divBdr>
        <w:top w:val="none" w:sz="0" w:space="0" w:color="auto"/>
        <w:left w:val="none" w:sz="0" w:space="0" w:color="auto"/>
        <w:bottom w:val="none" w:sz="0" w:space="0" w:color="auto"/>
        <w:right w:val="none" w:sz="0" w:space="0" w:color="auto"/>
      </w:divBdr>
    </w:div>
    <w:div w:id="1430079544">
      <w:bodyDiv w:val="1"/>
      <w:marLeft w:val="0"/>
      <w:marRight w:val="0"/>
      <w:marTop w:val="0"/>
      <w:marBottom w:val="0"/>
      <w:divBdr>
        <w:top w:val="none" w:sz="0" w:space="0" w:color="auto"/>
        <w:left w:val="none" w:sz="0" w:space="0" w:color="auto"/>
        <w:bottom w:val="none" w:sz="0" w:space="0" w:color="auto"/>
        <w:right w:val="none" w:sz="0" w:space="0" w:color="auto"/>
      </w:divBdr>
    </w:div>
    <w:div w:id="1435052102">
      <w:bodyDiv w:val="1"/>
      <w:marLeft w:val="0"/>
      <w:marRight w:val="0"/>
      <w:marTop w:val="0"/>
      <w:marBottom w:val="0"/>
      <w:divBdr>
        <w:top w:val="none" w:sz="0" w:space="0" w:color="auto"/>
        <w:left w:val="none" w:sz="0" w:space="0" w:color="auto"/>
        <w:bottom w:val="none" w:sz="0" w:space="0" w:color="auto"/>
        <w:right w:val="none" w:sz="0" w:space="0" w:color="auto"/>
      </w:divBdr>
    </w:div>
    <w:div w:id="1438216372">
      <w:bodyDiv w:val="1"/>
      <w:marLeft w:val="0"/>
      <w:marRight w:val="0"/>
      <w:marTop w:val="0"/>
      <w:marBottom w:val="0"/>
      <w:divBdr>
        <w:top w:val="none" w:sz="0" w:space="0" w:color="auto"/>
        <w:left w:val="none" w:sz="0" w:space="0" w:color="auto"/>
        <w:bottom w:val="none" w:sz="0" w:space="0" w:color="auto"/>
        <w:right w:val="none" w:sz="0" w:space="0" w:color="auto"/>
      </w:divBdr>
    </w:div>
    <w:div w:id="1441100803">
      <w:bodyDiv w:val="1"/>
      <w:marLeft w:val="0"/>
      <w:marRight w:val="0"/>
      <w:marTop w:val="0"/>
      <w:marBottom w:val="0"/>
      <w:divBdr>
        <w:top w:val="none" w:sz="0" w:space="0" w:color="auto"/>
        <w:left w:val="none" w:sz="0" w:space="0" w:color="auto"/>
        <w:bottom w:val="none" w:sz="0" w:space="0" w:color="auto"/>
        <w:right w:val="none" w:sz="0" w:space="0" w:color="auto"/>
      </w:divBdr>
    </w:div>
    <w:div w:id="1441560989">
      <w:bodyDiv w:val="1"/>
      <w:marLeft w:val="0"/>
      <w:marRight w:val="0"/>
      <w:marTop w:val="0"/>
      <w:marBottom w:val="0"/>
      <w:divBdr>
        <w:top w:val="none" w:sz="0" w:space="0" w:color="auto"/>
        <w:left w:val="none" w:sz="0" w:space="0" w:color="auto"/>
        <w:bottom w:val="none" w:sz="0" w:space="0" w:color="auto"/>
        <w:right w:val="none" w:sz="0" w:space="0" w:color="auto"/>
      </w:divBdr>
    </w:div>
    <w:div w:id="1452632216">
      <w:bodyDiv w:val="1"/>
      <w:marLeft w:val="0"/>
      <w:marRight w:val="0"/>
      <w:marTop w:val="0"/>
      <w:marBottom w:val="0"/>
      <w:divBdr>
        <w:top w:val="none" w:sz="0" w:space="0" w:color="auto"/>
        <w:left w:val="none" w:sz="0" w:space="0" w:color="auto"/>
        <w:bottom w:val="none" w:sz="0" w:space="0" w:color="auto"/>
        <w:right w:val="none" w:sz="0" w:space="0" w:color="auto"/>
      </w:divBdr>
    </w:div>
    <w:div w:id="1454858617">
      <w:bodyDiv w:val="1"/>
      <w:marLeft w:val="0"/>
      <w:marRight w:val="0"/>
      <w:marTop w:val="0"/>
      <w:marBottom w:val="0"/>
      <w:divBdr>
        <w:top w:val="none" w:sz="0" w:space="0" w:color="auto"/>
        <w:left w:val="none" w:sz="0" w:space="0" w:color="auto"/>
        <w:bottom w:val="none" w:sz="0" w:space="0" w:color="auto"/>
        <w:right w:val="none" w:sz="0" w:space="0" w:color="auto"/>
      </w:divBdr>
    </w:div>
    <w:div w:id="1474519592">
      <w:bodyDiv w:val="1"/>
      <w:marLeft w:val="0"/>
      <w:marRight w:val="0"/>
      <w:marTop w:val="0"/>
      <w:marBottom w:val="0"/>
      <w:divBdr>
        <w:top w:val="none" w:sz="0" w:space="0" w:color="auto"/>
        <w:left w:val="none" w:sz="0" w:space="0" w:color="auto"/>
        <w:bottom w:val="none" w:sz="0" w:space="0" w:color="auto"/>
        <w:right w:val="none" w:sz="0" w:space="0" w:color="auto"/>
      </w:divBdr>
    </w:div>
    <w:div w:id="1476095509">
      <w:bodyDiv w:val="1"/>
      <w:marLeft w:val="0"/>
      <w:marRight w:val="0"/>
      <w:marTop w:val="0"/>
      <w:marBottom w:val="0"/>
      <w:divBdr>
        <w:top w:val="none" w:sz="0" w:space="0" w:color="auto"/>
        <w:left w:val="none" w:sz="0" w:space="0" w:color="auto"/>
        <w:bottom w:val="none" w:sz="0" w:space="0" w:color="auto"/>
        <w:right w:val="none" w:sz="0" w:space="0" w:color="auto"/>
      </w:divBdr>
    </w:div>
    <w:div w:id="1487092579">
      <w:bodyDiv w:val="1"/>
      <w:marLeft w:val="0"/>
      <w:marRight w:val="0"/>
      <w:marTop w:val="0"/>
      <w:marBottom w:val="0"/>
      <w:divBdr>
        <w:top w:val="none" w:sz="0" w:space="0" w:color="auto"/>
        <w:left w:val="none" w:sz="0" w:space="0" w:color="auto"/>
        <w:bottom w:val="none" w:sz="0" w:space="0" w:color="auto"/>
        <w:right w:val="none" w:sz="0" w:space="0" w:color="auto"/>
      </w:divBdr>
    </w:div>
    <w:div w:id="1489125802">
      <w:bodyDiv w:val="1"/>
      <w:marLeft w:val="0"/>
      <w:marRight w:val="0"/>
      <w:marTop w:val="0"/>
      <w:marBottom w:val="0"/>
      <w:divBdr>
        <w:top w:val="none" w:sz="0" w:space="0" w:color="auto"/>
        <w:left w:val="none" w:sz="0" w:space="0" w:color="auto"/>
        <w:bottom w:val="none" w:sz="0" w:space="0" w:color="auto"/>
        <w:right w:val="none" w:sz="0" w:space="0" w:color="auto"/>
      </w:divBdr>
    </w:div>
    <w:div w:id="1497988840">
      <w:bodyDiv w:val="1"/>
      <w:marLeft w:val="0"/>
      <w:marRight w:val="0"/>
      <w:marTop w:val="0"/>
      <w:marBottom w:val="0"/>
      <w:divBdr>
        <w:top w:val="none" w:sz="0" w:space="0" w:color="auto"/>
        <w:left w:val="none" w:sz="0" w:space="0" w:color="auto"/>
        <w:bottom w:val="none" w:sz="0" w:space="0" w:color="auto"/>
        <w:right w:val="none" w:sz="0" w:space="0" w:color="auto"/>
      </w:divBdr>
    </w:div>
    <w:div w:id="1505853157">
      <w:bodyDiv w:val="1"/>
      <w:marLeft w:val="0"/>
      <w:marRight w:val="0"/>
      <w:marTop w:val="0"/>
      <w:marBottom w:val="0"/>
      <w:divBdr>
        <w:top w:val="none" w:sz="0" w:space="0" w:color="auto"/>
        <w:left w:val="none" w:sz="0" w:space="0" w:color="auto"/>
        <w:bottom w:val="none" w:sz="0" w:space="0" w:color="auto"/>
        <w:right w:val="none" w:sz="0" w:space="0" w:color="auto"/>
      </w:divBdr>
    </w:div>
    <w:div w:id="1508400967">
      <w:bodyDiv w:val="1"/>
      <w:marLeft w:val="0"/>
      <w:marRight w:val="0"/>
      <w:marTop w:val="0"/>
      <w:marBottom w:val="0"/>
      <w:divBdr>
        <w:top w:val="none" w:sz="0" w:space="0" w:color="auto"/>
        <w:left w:val="none" w:sz="0" w:space="0" w:color="auto"/>
        <w:bottom w:val="none" w:sz="0" w:space="0" w:color="auto"/>
        <w:right w:val="none" w:sz="0" w:space="0" w:color="auto"/>
      </w:divBdr>
    </w:div>
    <w:div w:id="1515925098">
      <w:bodyDiv w:val="1"/>
      <w:marLeft w:val="0"/>
      <w:marRight w:val="0"/>
      <w:marTop w:val="0"/>
      <w:marBottom w:val="0"/>
      <w:divBdr>
        <w:top w:val="none" w:sz="0" w:space="0" w:color="auto"/>
        <w:left w:val="none" w:sz="0" w:space="0" w:color="auto"/>
        <w:bottom w:val="none" w:sz="0" w:space="0" w:color="auto"/>
        <w:right w:val="none" w:sz="0" w:space="0" w:color="auto"/>
      </w:divBdr>
    </w:div>
    <w:div w:id="1519074513">
      <w:bodyDiv w:val="1"/>
      <w:marLeft w:val="0"/>
      <w:marRight w:val="0"/>
      <w:marTop w:val="0"/>
      <w:marBottom w:val="0"/>
      <w:divBdr>
        <w:top w:val="none" w:sz="0" w:space="0" w:color="auto"/>
        <w:left w:val="none" w:sz="0" w:space="0" w:color="auto"/>
        <w:bottom w:val="none" w:sz="0" w:space="0" w:color="auto"/>
        <w:right w:val="none" w:sz="0" w:space="0" w:color="auto"/>
      </w:divBdr>
    </w:div>
    <w:div w:id="1527794926">
      <w:bodyDiv w:val="1"/>
      <w:marLeft w:val="0"/>
      <w:marRight w:val="0"/>
      <w:marTop w:val="0"/>
      <w:marBottom w:val="0"/>
      <w:divBdr>
        <w:top w:val="none" w:sz="0" w:space="0" w:color="auto"/>
        <w:left w:val="none" w:sz="0" w:space="0" w:color="auto"/>
        <w:bottom w:val="none" w:sz="0" w:space="0" w:color="auto"/>
        <w:right w:val="none" w:sz="0" w:space="0" w:color="auto"/>
      </w:divBdr>
    </w:div>
    <w:div w:id="1542859581">
      <w:bodyDiv w:val="1"/>
      <w:marLeft w:val="0"/>
      <w:marRight w:val="0"/>
      <w:marTop w:val="0"/>
      <w:marBottom w:val="0"/>
      <w:divBdr>
        <w:top w:val="none" w:sz="0" w:space="0" w:color="auto"/>
        <w:left w:val="none" w:sz="0" w:space="0" w:color="auto"/>
        <w:bottom w:val="none" w:sz="0" w:space="0" w:color="auto"/>
        <w:right w:val="none" w:sz="0" w:space="0" w:color="auto"/>
      </w:divBdr>
    </w:div>
    <w:div w:id="1545829506">
      <w:bodyDiv w:val="1"/>
      <w:marLeft w:val="0"/>
      <w:marRight w:val="0"/>
      <w:marTop w:val="0"/>
      <w:marBottom w:val="0"/>
      <w:divBdr>
        <w:top w:val="none" w:sz="0" w:space="0" w:color="auto"/>
        <w:left w:val="none" w:sz="0" w:space="0" w:color="auto"/>
        <w:bottom w:val="none" w:sz="0" w:space="0" w:color="auto"/>
        <w:right w:val="none" w:sz="0" w:space="0" w:color="auto"/>
      </w:divBdr>
    </w:div>
    <w:div w:id="1568759768">
      <w:bodyDiv w:val="1"/>
      <w:marLeft w:val="0"/>
      <w:marRight w:val="0"/>
      <w:marTop w:val="0"/>
      <w:marBottom w:val="0"/>
      <w:divBdr>
        <w:top w:val="none" w:sz="0" w:space="0" w:color="auto"/>
        <w:left w:val="none" w:sz="0" w:space="0" w:color="auto"/>
        <w:bottom w:val="none" w:sz="0" w:space="0" w:color="auto"/>
        <w:right w:val="none" w:sz="0" w:space="0" w:color="auto"/>
      </w:divBdr>
    </w:div>
    <w:div w:id="1578831568">
      <w:bodyDiv w:val="1"/>
      <w:marLeft w:val="0"/>
      <w:marRight w:val="0"/>
      <w:marTop w:val="0"/>
      <w:marBottom w:val="0"/>
      <w:divBdr>
        <w:top w:val="none" w:sz="0" w:space="0" w:color="auto"/>
        <w:left w:val="none" w:sz="0" w:space="0" w:color="auto"/>
        <w:bottom w:val="none" w:sz="0" w:space="0" w:color="auto"/>
        <w:right w:val="none" w:sz="0" w:space="0" w:color="auto"/>
      </w:divBdr>
    </w:div>
    <w:div w:id="1591354276">
      <w:bodyDiv w:val="1"/>
      <w:marLeft w:val="0"/>
      <w:marRight w:val="0"/>
      <w:marTop w:val="0"/>
      <w:marBottom w:val="0"/>
      <w:divBdr>
        <w:top w:val="none" w:sz="0" w:space="0" w:color="auto"/>
        <w:left w:val="none" w:sz="0" w:space="0" w:color="auto"/>
        <w:bottom w:val="none" w:sz="0" w:space="0" w:color="auto"/>
        <w:right w:val="none" w:sz="0" w:space="0" w:color="auto"/>
      </w:divBdr>
    </w:div>
    <w:div w:id="1596595560">
      <w:bodyDiv w:val="1"/>
      <w:marLeft w:val="0"/>
      <w:marRight w:val="0"/>
      <w:marTop w:val="0"/>
      <w:marBottom w:val="0"/>
      <w:divBdr>
        <w:top w:val="none" w:sz="0" w:space="0" w:color="auto"/>
        <w:left w:val="none" w:sz="0" w:space="0" w:color="auto"/>
        <w:bottom w:val="none" w:sz="0" w:space="0" w:color="auto"/>
        <w:right w:val="none" w:sz="0" w:space="0" w:color="auto"/>
      </w:divBdr>
    </w:div>
    <w:div w:id="1600530298">
      <w:bodyDiv w:val="1"/>
      <w:marLeft w:val="0"/>
      <w:marRight w:val="0"/>
      <w:marTop w:val="0"/>
      <w:marBottom w:val="0"/>
      <w:divBdr>
        <w:top w:val="none" w:sz="0" w:space="0" w:color="auto"/>
        <w:left w:val="none" w:sz="0" w:space="0" w:color="auto"/>
        <w:bottom w:val="none" w:sz="0" w:space="0" w:color="auto"/>
        <w:right w:val="none" w:sz="0" w:space="0" w:color="auto"/>
      </w:divBdr>
    </w:div>
    <w:div w:id="1604460416">
      <w:bodyDiv w:val="1"/>
      <w:marLeft w:val="0"/>
      <w:marRight w:val="0"/>
      <w:marTop w:val="0"/>
      <w:marBottom w:val="0"/>
      <w:divBdr>
        <w:top w:val="none" w:sz="0" w:space="0" w:color="auto"/>
        <w:left w:val="none" w:sz="0" w:space="0" w:color="auto"/>
        <w:bottom w:val="none" w:sz="0" w:space="0" w:color="auto"/>
        <w:right w:val="none" w:sz="0" w:space="0" w:color="auto"/>
      </w:divBdr>
    </w:div>
    <w:div w:id="1606035495">
      <w:bodyDiv w:val="1"/>
      <w:marLeft w:val="0"/>
      <w:marRight w:val="0"/>
      <w:marTop w:val="0"/>
      <w:marBottom w:val="0"/>
      <w:divBdr>
        <w:top w:val="none" w:sz="0" w:space="0" w:color="auto"/>
        <w:left w:val="none" w:sz="0" w:space="0" w:color="auto"/>
        <w:bottom w:val="none" w:sz="0" w:space="0" w:color="auto"/>
        <w:right w:val="none" w:sz="0" w:space="0" w:color="auto"/>
      </w:divBdr>
    </w:div>
    <w:div w:id="1620650700">
      <w:bodyDiv w:val="1"/>
      <w:marLeft w:val="0"/>
      <w:marRight w:val="0"/>
      <w:marTop w:val="0"/>
      <w:marBottom w:val="0"/>
      <w:divBdr>
        <w:top w:val="none" w:sz="0" w:space="0" w:color="auto"/>
        <w:left w:val="none" w:sz="0" w:space="0" w:color="auto"/>
        <w:bottom w:val="none" w:sz="0" w:space="0" w:color="auto"/>
        <w:right w:val="none" w:sz="0" w:space="0" w:color="auto"/>
      </w:divBdr>
    </w:div>
    <w:div w:id="1621447426">
      <w:bodyDiv w:val="1"/>
      <w:marLeft w:val="0"/>
      <w:marRight w:val="0"/>
      <w:marTop w:val="0"/>
      <w:marBottom w:val="0"/>
      <w:divBdr>
        <w:top w:val="none" w:sz="0" w:space="0" w:color="auto"/>
        <w:left w:val="none" w:sz="0" w:space="0" w:color="auto"/>
        <w:bottom w:val="none" w:sz="0" w:space="0" w:color="auto"/>
        <w:right w:val="none" w:sz="0" w:space="0" w:color="auto"/>
      </w:divBdr>
    </w:div>
    <w:div w:id="1631595130">
      <w:bodyDiv w:val="1"/>
      <w:marLeft w:val="0"/>
      <w:marRight w:val="0"/>
      <w:marTop w:val="0"/>
      <w:marBottom w:val="0"/>
      <w:divBdr>
        <w:top w:val="none" w:sz="0" w:space="0" w:color="auto"/>
        <w:left w:val="none" w:sz="0" w:space="0" w:color="auto"/>
        <w:bottom w:val="none" w:sz="0" w:space="0" w:color="auto"/>
        <w:right w:val="none" w:sz="0" w:space="0" w:color="auto"/>
      </w:divBdr>
    </w:div>
    <w:div w:id="1640957888">
      <w:bodyDiv w:val="1"/>
      <w:marLeft w:val="0"/>
      <w:marRight w:val="0"/>
      <w:marTop w:val="0"/>
      <w:marBottom w:val="0"/>
      <w:divBdr>
        <w:top w:val="none" w:sz="0" w:space="0" w:color="auto"/>
        <w:left w:val="none" w:sz="0" w:space="0" w:color="auto"/>
        <w:bottom w:val="none" w:sz="0" w:space="0" w:color="auto"/>
        <w:right w:val="none" w:sz="0" w:space="0" w:color="auto"/>
      </w:divBdr>
    </w:div>
    <w:div w:id="1646276911">
      <w:bodyDiv w:val="1"/>
      <w:marLeft w:val="0"/>
      <w:marRight w:val="0"/>
      <w:marTop w:val="0"/>
      <w:marBottom w:val="0"/>
      <w:divBdr>
        <w:top w:val="none" w:sz="0" w:space="0" w:color="auto"/>
        <w:left w:val="none" w:sz="0" w:space="0" w:color="auto"/>
        <w:bottom w:val="none" w:sz="0" w:space="0" w:color="auto"/>
        <w:right w:val="none" w:sz="0" w:space="0" w:color="auto"/>
      </w:divBdr>
    </w:div>
    <w:div w:id="1670400444">
      <w:bodyDiv w:val="1"/>
      <w:marLeft w:val="0"/>
      <w:marRight w:val="0"/>
      <w:marTop w:val="0"/>
      <w:marBottom w:val="0"/>
      <w:divBdr>
        <w:top w:val="none" w:sz="0" w:space="0" w:color="auto"/>
        <w:left w:val="none" w:sz="0" w:space="0" w:color="auto"/>
        <w:bottom w:val="none" w:sz="0" w:space="0" w:color="auto"/>
        <w:right w:val="none" w:sz="0" w:space="0" w:color="auto"/>
      </w:divBdr>
    </w:div>
    <w:div w:id="1674991007">
      <w:bodyDiv w:val="1"/>
      <w:marLeft w:val="0"/>
      <w:marRight w:val="0"/>
      <w:marTop w:val="0"/>
      <w:marBottom w:val="0"/>
      <w:divBdr>
        <w:top w:val="none" w:sz="0" w:space="0" w:color="auto"/>
        <w:left w:val="none" w:sz="0" w:space="0" w:color="auto"/>
        <w:bottom w:val="none" w:sz="0" w:space="0" w:color="auto"/>
        <w:right w:val="none" w:sz="0" w:space="0" w:color="auto"/>
      </w:divBdr>
    </w:div>
    <w:div w:id="1679388355">
      <w:bodyDiv w:val="1"/>
      <w:marLeft w:val="0"/>
      <w:marRight w:val="0"/>
      <w:marTop w:val="0"/>
      <w:marBottom w:val="0"/>
      <w:divBdr>
        <w:top w:val="none" w:sz="0" w:space="0" w:color="auto"/>
        <w:left w:val="none" w:sz="0" w:space="0" w:color="auto"/>
        <w:bottom w:val="none" w:sz="0" w:space="0" w:color="auto"/>
        <w:right w:val="none" w:sz="0" w:space="0" w:color="auto"/>
      </w:divBdr>
    </w:div>
    <w:div w:id="1683898944">
      <w:bodyDiv w:val="1"/>
      <w:marLeft w:val="0"/>
      <w:marRight w:val="0"/>
      <w:marTop w:val="0"/>
      <w:marBottom w:val="0"/>
      <w:divBdr>
        <w:top w:val="none" w:sz="0" w:space="0" w:color="auto"/>
        <w:left w:val="none" w:sz="0" w:space="0" w:color="auto"/>
        <w:bottom w:val="none" w:sz="0" w:space="0" w:color="auto"/>
        <w:right w:val="none" w:sz="0" w:space="0" w:color="auto"/>
      </w:divBdr>
    </w:div>
    <w:div w:id="1687898857">
      <w:bodyDiv w:val="1"/>
      <w:marLeft w:val="0"/>
      <w:marRight w:val="0"/>
      <w:marTop w:val="0"/>
      <w:marBottom w:val="0"/>
      <w:divBdr>
        <w:top w:val="none" w:sz="0" w:space="0" w:color="auto"/>
        <w:left w:val="none" w:sz="0" w:space="0" w:color="auto"/>
        <w:bottom w:val="none" w:sz="0" w:space="0" w:color="auto"/>
        <w:right w:val="none" w:sz="0" w:space="0" w:color="auto"/>
      </w:divBdr>
    </w:div>
    <w:div w:id="1689141381">
      <w:bodyDiv w:val="1"/>
      <w:marLeft w:val="0"/>
      <w:marRight w:val="0"/>
      <w:marTop w:val="0"/>
      <w:marBottom w:val="0"/>
      <w:divBdr>
        <w:top w:val="none" w:sz="0" w:space="0" w:color="auto"/>
        <w:left w:val="none" w:sz="0" w:space="0" w:color="auto"/>
        <w:bottom w:val="none" w:sz="0" w:space="0" w:color="auto"/>
        <w:right w:val="none" w:sz="0" w:space="0" w:color="auto"/>
      </w:divBdr>
    </w:div>
    <w:div w:id="1689940986">
      <w:bodyDiv w:val="1"/>
      <w:marLeft w:val="0"/>
      <w:marRight w:val="0"/>
      <w:marTop w:val="0"/>
      <w:marBottom w:val="0"/>
      <w:divBdr>
        <w:top w:val="none" w:sz="0" w:space="0" w:color="auto"/>
        <w:left w:val="none" w:sz="0" w:space="0" w:color="auto"/>
        <w:bottom w:val="none" w:sz="0" w:space="0" w:color="auto"/>
        <w:right w:val="none" w:sz="0" w:space="0" w:color="auto"/>
      </w:divBdr>
    </w:div>
    <w:div w:id="1693997258">
      <w:bodyDiv w:val="1"/>
      <w:marLeft w:val="0"/>
      <w:marRight w:val="0"/>
      <w:marTop w:val="0"/>
      <w:marBottom w:val="0"/>
      <w:divBdr>
        <w:top w:val="none" w:sz="0" w:space="0" w:color="auto"/>
        <w:left w:val="none" w:sz="0" w:space="0" w:color="auto"/>
        <w:bottom w:val="none" w:sz="0" w:space="0" w:color="auto"/>
        <w:right w:val="none" w:sz="0" w:space="0" w:color="auto"/>
      </w:divBdr>
    </w:div>
    <w:div w:id="1697347480">
      <w:bodyDiv w:val="1"/>
      <w:marLeft w:val="0"/>
      <w:marRight w:val="0"/>
      <w:marTop w:val="0"/>
      <w:marBottom w:val="0"/>
      <w:divBdr>
        <w:top w:val="none" w:sz="0" w:space="0" w:color="auto"/>
        <w:left w:val="none" w:sz="0" w:space="0" w:color="auto"/>
        <w:bottom w:val="none" w:sz="0" w:space="0" w:color="auto"/>
        <w:right w:val="none" w:sz="0" w:space="0" w:color="auto"/>
      </w:divBdr>
    </w:div>
    <w:div w:id="1698309247">
      <w:bodyDiv w:val="1"/>
      <w:marLeft w:val="0"/>
      <w:marRight w:val="0"/>
      <w:marTop w:val="0"/>
      <w:marBottom w:val="0"/>
      <w:divBdr>
        <w:top w:val="none" w:sz="0" w:space="0" w:color="auto"/>
        <w:left w:val="none" w:sz="0" w:space="0" w:color="auto"/>
        <w:bottom w:val="none" w:sz="0" w:space="0" w:color="auto"/>
        <w:right w:val="none" w:sz="0" w:space="0" w:color="auto"/>
      </w:divBdr>
    </w:div>
    <w:div w:id="1704943027">
      <w:bodyDiv w:val="1"/>
      <w:marLeft w:val="0"/>
      <w:marRight w:val="0"/>
      <w:marTop w:val="0"/>
      <w:marBottom w:val="0"/>
      <w:divBdr>
        <w:top w:val="none" w:sz="0" w:space="0" w:color="auto"/>
        <w:left w:val="none" w:sz="0" w:space="0" w:color="auto"/>
        <w:bottom w:val="none" w:sz="0" w:space="0" w:color="auto"/>
        <w:right w:val="none" w:sz="0" w:space="0" w:color="auto"/>
      </w:divBdr>
    </w:div>
    <w:div w:id="1713385118">
      <w:bodyDiv w:val="1"/>
      <w:marLeft w:val="0"/>
      <w:marRight w:val="0"/>
      <w:marTop w:val="0"/>
      <w:marBottom w:val="0"/>
      <w:divBdr>
        <w:top w:val="none" w:sz="0" w:space="0" w:color="auto"/>
        <w:left w:val="none" w:sz="0" w:space="0" w:color="auto"/>
        <w:bottom w:val="none" w:sz="0" w:space="0" w:color="auto"/>
        <w:right w:val="none" w:sz="0" w:space="0" w:color="auto"/>
      </w:divBdr>
    </w:div>
    <w:div w:id="1715541817">
      <w:bodyDiv w:val="1"/>
      <w:marLeft w:val="0"/>
      <w:marRight w:val="0"/>
      <w:marTop w:val="0"/>
      <w:marBottom w:val="0"/>
      <w:divBdr>
        <w:top w:val="none" w:sz="0" w:space="0" w:color="auto"/>
        <w:left w:val="none" w:sz="0" w:space="0" w:color="auto"/>
        <w:bottom w:val="none" w:sz="0" w:space="0" w:color="auto"/>
        <w:right w:val="none" w:sz="0" w:space="0" w:color="auto"/>
      </w:divBdr>
    </w:div>
    <w:div w:id="1715881430">
      <w:bodyDiv w:val="1"/>
      <w:marLeft w:val="0"/>
      <w:marRight w:val="0"/>
      <w:marTop w:val="0"/>
      <w:marBottom w:val="0"/>
      <w:divBdr>
        <w:top w:val="none" w:sz="0" w:space="0" w:color="auto"/>
        <w:left w:val="none" w:sz="0" w:space="0" w:color="auto"/>
        <w:bottom w:val="none" w:sz="0" w:space="0" w:color="auto"/>
        <w:right w:val="none" w:sz="0" w:space="0" w:color="auto"/>
      </w:divBdr>
    </w:div>
    <w:div w:id="1716999782">
      <w:bodyDiv w:val="1"/>
      <w:marLeft w:val="0"/>
      <w:marRight w:val="0"/>
      <w:marTop w:val="0"/>
      <w:marBottom w:val="0"/>
      <w:divBdr>
        <w:top w:val="none" w:sz="0" w:space="0" w:color="auto"/>
        <w:left w:val="none" w:sz="0" w:space="0" w:color="auto"/>
        <w:bottom w:val="none" w:sz="0" w:space="0" w:color="auto"/>
        <w:right w:val="none" w:sz="0" w:space="0" w:color="auto"/>
      </w:divBdr>
    </w:div>
    <w:div w:id="1717311172">
      <w:bodyDiv w:val="1"/>
      <w:marLeft w:val="0"/>
      <w:marRight w:val="0"/>
      <w:marTop w:val="0"/>
      <w:marBottom w:val="0"/>
      <w:divBdr>
        <w:top w:val="none" w:sz="0" w:space="0" w:color="auto"/>
        <w:left w:val="none" w:sz="0" w:space="0" w:color="auto"/>
        <w:bottom w:val="none" w:sz="0" w:space="0" w:color="auto"/>
        <w:right w:val="none" w:sz="0" w:space="0" w:color="auto"/>
      </w:divBdr>
    </w:div>
    <w:div w:id="1717506354">
      <w:bodyDiv w:val="1"/>
      <w:marLeft w:val="0"/>
      <w:marRight w:val="0"/>
      <w:marTop w:val="0"/>
      <w:marBottom w:val="0"/>
      <w:divBdr>
        <w:top w:val="none" w:sz="0" w:space="0" w:color="auto"/>
        <w:left w:val="none" w:sz="0" w:space="0" w:color="auto"/>
        <w:bottom w:val="none" w:sz="0" w:space="0" w:color="auto"/>
        <w:right w:val="none" w:sz="0" w:space="0" w:color="auto"/>
      </w:divBdr>
    </w:div>
    <w:div w:id="1740327206">
      <w:bodyDiv w:val="1"/>
      <w:marLeft w:val="0"/>
      <w:marRight w:val="0"/>
      <w:marTop w:val="0"/>
      <w:marBottom w:val="0"/>
      <w:divBdr>
        <w:top w:val="none" w:sz="0" w:space="0" w:color="auto"/>
        <w:left w:val="none" w:sz="0" w:space="0" w:color="auto"/>
        <w:bottom w:val="none" w:sz="0" w:space="0" w:color="auto"/>
        <w:right w:val="none" w:sz="0" w:space="0" w:color="auto"/>
      </w:divBdr>
    </w:div>
    <w:div w:id="1742370171">
      <w:bodyDiv w:val="1"/>
      <w:marLeft w:val="0"/>
      <w:marRight w:val="0"/>
      <w:marTop w:val="0"/>
      <w:marBottom w:val="0"/>
      <w:divBdr>
        <w:top w:val="none" w:sz="0" w:space="0" w:color="auto"/>
        <w:left w:val="none" w:sz="0" w:space="0" w:color="auto"/>
        <w:bottom w:val="none" w:sz="0" w:space="0" w:color="auto"/>
        <w:right w:val="none" w:sz="0" w:space="0" w:color="auto"/>
      </w:divBdr>
    </w:div>
    <w:div w:id="1769815185">
      <w:bodyDiv w:val="1"/>
      <w:marLeft w:val="0"/>
      <w:marRight w:val="0"/>
      <w:marTop w:val="0"/>
      <w:marBottom w:val="0"/>
      <w:divBdr>
        <w:top w:val="none" w:sz="0" w:space="0" w:color="auto"/>
        <w:left w:val="none" w:sz="0" w:space="0" w:color="auto"/>
        <w:bottom w:val="none" w:sz="0" w:space="0" w:color="auto"/>
        <w:right w:val="none" w:sz="0" w:space="0" w:color="auto"/>
      </w:divBdr>
    </w:div>
    <w:div w:id="1779715827">
      <w:bodyDiv w:val="1"/>
      <w:marLeft w:val="0"/>
      <w:marRight w:val="0"/>
      <w:marTop w:val="0"/>
      <w:marBottom w:val="0"/>
      <w:divBdr>
        <w:top w:val="none" w:sz="0" w:space="0" w:color="auto"/>
        <w:left w:val="none" w:sz="0" w:space="0" w:color="auto"/>
        <w:bottom w:val="none" w:sz="0" w:space="0" w:color="auto"/>
        <w:right w:val="none" w:sz="0" w:space="0" w:color="auto"/>
      </w:divBdr>
    </w:div>
    <w:div w:id="1806311768">
      <w:bodyDiv w:val="1"/>
      <w:marLeft w:val="0"/>
      <w:marRight w:val="0"/>
      <w:marTop w:val="0"/>
      <w:marBottom w:val="0"/>
      <w:divBdr>
        <w:top w:val="none" w:sz="0" w:space="0" w:color="auto"/>
        <w:left w:val="none" w:sz="0" w:space="0" w:color="auto"/>
        <w:bottom w:val="none" w:sz="0" w:space="0" w:color="auto"/>
        <w:right w:val="none" w:sz="0" w:space="0" w:color="auto"/>
      </w:divBdr>
    </w:div>
    <w:div w:id="1837064617">
      <w:bodyDiv w:val="1"/>
      <w:marLeft w:val="0"/>
      <w:marRight w:val="0"/>
      <w:marTop w:val="0"/>
      <w:marBottom w:val="0"/>
      <w:divBdr>
        <w:top w:val="none" w:sz="0" w:space="0" w:color="auto"/>
        <w:left w:val="none" w:sz="0" w:space="0" w:color="auto"/>
        <w:bottom w:val="none" w:sz="0" w:space="0" w:color="auto"/>
        <w:right w:val="none" w:sz="0" w:space="0" w:color="auto"/>
      </w:divBdr>
    </w:div>
    <w:div w:id="1840997758">
      <w:bodyDiv w:val="1"/>
      <w:marLeft w:val="0"/>
      <w:marRight w:val="0"/>
      <w:marTop w:val="0"/>
      <w:marBottom w:val="0"/>
      <w:divBdr>
        <w:top w:val="none" w:sz="0" w:space="0" w:color="auto"/>
        <w:left w:val="none" w:sz="0" w:space="0" w:color="auto"/>
        <w:bottom w:val="none" w:sz="0" w:space="0" w:color="auto"/>
        <w:right w:val="none" w:sz="0" w:space="0" w:color="auto"/>
      </w:divBdr>
    </w:div>
    <w:div w:id="1848858648">
      <w:bodyDiv w:val="1"/>
      <w:marLeft w:val="0"/>
      <w:marRight w:val="0"/>
      <w:marTop w:val="0"/>
      <w:marBottom w:val="0"/>
      <w:divBdr>
        <w:top w:val="none" w:sz="0" w:space="0" w:color="auto"/>
        <w:left w:val="none" w:sz="0" w:space="0" w:color="auto"/>
        <w:bottom w:val="none" w:sz="0" w:space="0" w:color="auto"/>
        <w:right w:val="none" w:sz="0" w:space="0" w:color="auto"/>
      </w:divBdr>
    </w:div>
    <w:div w:id="1850170741">
      <w:bodyDiv w:val="1"/>
      <w:marLeft w:val="0"/>
      <w:marRight w:val="0"/>
      <w:marTop w:val="0"/>
      <w:marBottom w:val="0"/>
      <w:divBdr>
        <w:top w:val="none" w:sz="0" w:space="0" w:color="auto"/>
        <w:left w:val="none" w:sz="0" w:space="0" w:color="auto"/>
        <w:bottom w:val="none" w:sz="0" w:space="0" w:color="auto"/>
        <w:right w:val="none" w:sz="0" w:space="0" w:color="auto"/>
      </w:divBdr>
    </w:div>
    <w:div w:id="1859000879">
      <w:bodyDiv w:val="1"/>
      <w:marLeft w:val="0"/>
      <w:marRight w:val="0"/>
      <w:marTop w:val="0"/>
      <w:marBottom w:val="0"/>
      <w:divBdr>
        <w:top w:val="none" w:sz="0" w:space="0" w:color="auto"/>
        <w:left w:val="none" w:sz="0" w:space="0" w:color="auto"/>
        <w:bottom w:val="none" w:sz="0" w:space="0" w:color="auto"/>
        <w:right w:val="none" w:sz="0" w:space="0" w:color="auto"/>
      </w:divBdr>
    </w:div>
    <w:div w:id="1865556805">
      <w:bodyDiv w:val="1"/>
      <w:marLeft w:val="0"/>
      <w:marRight w:val="0"/>
      <w:marTop w:val="0"/>
      <w:marBottom w:val="0"/>
      <w:divBdr>
        <w:top w:val="none" w:sz="0" w:space="0" w:color="auto"/>
        <w:left w:val="none" w:sz="0" w:space="0" w:color="auto"/>
        <w:bottom w:val="none" w:sz="0" w:space="0" w:color="auto"/>
        <w:right w:val="none" w:sz="0" w:space="0" w:color="auto"/>
      </w:divBdr>
    </w:div>
    <w:div w:id="1873612013">
      <w:bodyDiv w:val="1"/>
      <w:marLeft w:val="0"/>
      <w:marRight w:val="0"/>
      <w:marTop w:val="0"/>
      <w:marBottom w:val="0"/>
      <w:divBdr>
        <w:top w:val="none" w:sz="0" w:space="0" w:color="auto"/>
        <w:left w:val="none" w:sz="0" w:space="0" w:color="auto"/>
        <w:bottom w:val="none" w:sz="0" w:space="0" w:color="auto"/>
        <w:right w:val="none" w:sz="0" w:space="0" w:color="auto"/>
      </w:divBdr>
    </w:div>
    <w:div w:id="1876040900">
      <w:bodyDiv w:val="1"/>
      <w:marLeft w:val="0"/>
      <w:marRight w:val="0"/>
      <w:marTop w:val="0"/>
      <w:marBottom w:val="0"/>
      <w:divBdr>
        <w:top w:val="none" w:sz="0" w:space="0" w:color="auto"/>
        <w:left w:val="none" w:sz="0" w:space="0" w:color="auto"/>
        <w:bottom w:val="none" w:sz="0" w:space="0" w:color="auto"/>
        <w:right w:val="none" w:sz="0" w:space="0" w:color="auto"/>
      </w:divBdr>
    </w:div>
    <w:div w:id="1877036969">
      <w:bodyDiv w:val="1"/>
      <w:marLeft w:val="0"/>
      <w:marRight w:val="0"/>
      <w:marTop w:val="0"/>
      <w:marBottom w:val="0"/>
      <w:divBdr>
        <w:top w:val="none" w:sz="0" w:space="0" w:color="auto"/>
        <w:left w:val="none" w:sz="0" w:space="0" w:color="auto"/>
        <w:bottom w:val="none" w:sz="0" w:space="0" w:color="auto"/>
        <w:right w:val="none" w:sz="0" w:space="0" w:color="auto"/>
      </w:divBdr>
    </w:div>
    <w:div w:id="1885360782">
      <w:bodyDiv w:val="1"/>
      <w:marLeft w:val="0"/>
      <w:marRight w:val="0"/>
      <w:marTop w:val="0"/>
      <w:marBottom w:val="0"/>
      <w:divBdr>
        <w:top w:val="none" w:sz="0" w:space="0" w:color="auto"/>
        <w:left w:val="none" w:sz="0" w:space="0" w:color="auto"/>
        <w:bottom w:val="none" w:sz="0" w:space="0" w:color="auto"/>
        <w:right w:val="none" w:sz="0" w:space="0" w:color="auto"/>
      </w:divBdr>
    </w:div>
    <w:div w:id="1888369506">
      <w:bodyDiv w:val="1"/>
      <w:marLeft w:val="0"/>
      <w:marRight w:val="0"/>
      <w:marTop w:val="0"/>
      <w:marBottom w:val="0"/>
      <w:divBdr>
        <w:top w:val="none" w:sz="0" w:space="0" w:color="auto"/>
        <w:left w:val="none" w:sz="0" w:space="0" w:color="auto"/>
        <w:bottom w:val="none" w:sz="0" w:space="0" w:color="auto"/>
        <w:right w:val="none" w:sz="0" w:space="0" w:color="auto"/>
      </w:divBdr>
    </w:div>
    <w:div w:id="1900361987">
      <w:bodyDiv w:val="1"/>
      <w:marLeft w:val="0"/>
      <w:marRight w:val="0"/>
      <w:marTop w:val="0"/>
      <w:marBottom w:val="0"/>
      <w:divBdr>
        <w:top w:val="none" w:sz="0" w:space="0" w:color="auto"/>
        <w:left w:val="none" w:sz="0" w:space="0" w:color="auto"/>
        <w:bottom w:val="none" w:sz="0" w:space="0" w:color="auto"/>
        <w:right w:val="none" w:sz="0" w:space="0" w:color="auto"/>
      </w:divBdr>
    </w:div>
    <w:div w:id="1906449299">
      <w:bodyDiv w:val="1"/>
      <w:marLeft w:val="0"/>
      <w:marRight w:val="0"/>
      <w:marTop w:val="0"/>
      <w:marBottom w:val="0"/>
      <w:divBdr>
        <w:top w:val="none" w:sz="0" w:space="0" w:color="auto"/>
        <w:left w:val="none" w:sz="0" w:space="0" w:color="auto"/>
        <w:bottom w:val="none" w:sz="0" w:space="0" w:color="auto"/>
        <w:right w:val="none" w:sz="0" w:space="0" w:color="auto"/>
      </w:divBdr>
    </w:div>
    <w:div w:id="1908301628">
      <w:bodyDiv w:val="1"/>
      <w:marLeft w:val="0"/>
      <w:marRight w:val="0"/>
      <w:marTop w:val="0"/>
      <w:marBottom w:val="0"/>
      <w:divBdr>
        <w:top w:val="none" w:sz="0" w:space="0" w:color="auto"/>
        <w:left w:val="none" w:sz="0" w:space="0" w:color="auto"/>
        <w:bottom w:val="none" w:sz="0" w:space="0" w:color="auto"/>
        <w:right w:val="none" w:sz="0" w:space="0" w:color="auto"/>
      </w:divBdr>
    </w:div>
    <w:div w:id="1911622906">
      <w:bodyDiv w:val="1"/>
      <w:marLeft w:val="0"/>
      <w:marRight w:val="0"/>
      <w:marTop w:val="0"/>
      <w:marBottom w:val="0"/>
      <w:divBdr>
        <w:top w:val="none" w:sz="0" w:space="0" w:color="auto"/>
        <w:left w:val="none" w:sz="0" w:space="0" w:color="auto"/>
        <w:bottom w:val="none" w:sz="0" w:space="0" w:color="auto"/>
        <w:right w:val="none" w:sz="0" w:space="0" w:color="auto"/>
      </w:divBdr>
    </w:div>
    <w:div w:id="1920871712">
      <w:bodyDiv w:val="1"/>
      <w:marLeft w:val="0"/>
      <w:marRight w:val="0"/>
      <w:marTop w:val="0"/>
      <w:marBottom w:val="0"/>
      <w:divBdr>
        <w:top w:val="none" w:sz="0" w:space="0" w:color="auto"/>
        <w:left w:val="none" w:sz="0" w:space="0" w:color="auto"/>
        <w:bottom w:val="none" w:sz="0" w:space="0" w:color="auto"/>
        <w:right w:val="none" w:sz="0" w:space="0" w:color="auto"/>
      </w:divBdr>
    </w:div>
    <w:div w:id="1924489593">
      <w:bodyDiv w:val="1"/>
      <w:marLeft w:val="0"/>
      <w:marRight w:val="0"/>
      <w:marTop w:val="0"/>
      <w:marBottom w:val="0"/>
      <w:divBdr>
        <w:top w:val="none" w:sz="0" w:space="0" w:color="auto"/>
        <w:left w:val="none" w:sz="0" w:space="0" w:color="auto"/>
        <w:bottom w:val="none" w:sz="0" w:space="0" w:color="auto"/>
        <w:right w:val="none" w:sz="0" w:space="0" w:color="auto"/>
      </w:divBdr>
    </w:div>
    <w:div w:id="1931430048">
      <w:bodyDiv w:val="1"/>
      <w:marLeft w:val="0"/>
      <w:marRight w:val="0"/>
      <w:marTop w:val="0"/>
      <w:marBottom w:val="0"/>
      <w:divBdr>
        <w:top w:val="none" w:sz="0" w:space="0" w:color="auto"/>
        <w:left w:val="none" w:sz="0" w:space="0" w:color="auto"/>
        <w:bottom w:val="none" w:sz="0" w:space="0" w:color="auto"/>
        <w:right w:val="none" w:sz="0" w:space="0" w:color="auto"/>
      </w:divBdr>
    </w:div>
    <w:div w:id="1934437838">
      <w:bodyDiv w:val="1"/>
      <w:marLeft w:val="0"/>
      <w:marRight w:val="0"/>
      <w:marTop w:val="0"/>
      <w:marBottom w:val="0"/>
      <w:divBdr>
        <w:top w:val="none" w:sz="0" w:space="0" w:color="auto"/>
        <w:left w:val="none" w:sz="0" w:space="0" w:color="auto"/>
        <w:bottom w:val="none" w:sz="0" w:space="0" w:color="auto"/>
        <w:right w:val="none" w:sz="0" w:space="0" w:color="auto"/>
      </w:divBdr>
    </w:div>
    <w:div w:id="1935673811">
      <w:bodyDiv w:val="1"/>
      <w:marLeft w:val="0"/>
      <w:marRight w:val="0"/>
      <w:marTop w:val="0"/>
      <w:marBottom w:val="0"/>
      <w:divBdr>
        <w:top w:val="none" w:sz="0" w:space="0" w:color="auto"/>
        <w:left w:val="none" w:sz="0" w:space="0" w:color="auto"/>
        <w:bottom w:val="none" w:sz="0" w:space="0" w:color="auto"/>
        <w:right w:val="none" w:sz="0" w:space="0" w:color="auto"/>
      </w:divBdr>
    </w:div>
    <w:div w:id="1947538782">
      <w:bodyDiv w:val="1"/>
      <w:marLeft w:val="0"/>
      <w:marRight w:val="0"/>
      <w:marTop w:val="0"/>
      <w:marBottom w:val="0"/>
      <w:divBdr>
        <w:top w:val="none" w:sz="0" w:space="0" w:color="auto"/>
        <w:left w:val="none" w:sz="0" w:space="0" w:color="auto"/>
        <w:bottom w:val="none" w:sz="0" w:space="0" w:color="auto"/>
        <w:right w:val="none" w:sz="0" w:space="0" w:color="auto"/>
      </w:divBdr>
    </w:div>
    <w:div w:id="1961767158">
      <w:bodyDiv w:val="1"/>
      <w:marLeft w:val="0"/>
      <w:marRight w:val="0"/>
      <w:marTop w:val="0"/>
      <w:marBottom w:val="0"/>
      <w:divBdr>
        <w:top w:val="none" w:sz="0" w:space="0" w:color="auto"/>
        <w:left w:val="none" w:sz="0" w:space="0" w:color="auto"/>
        <w:bottom w:val="none" w:sz="0" w:space="0" w:color="auto"/>
        <w:right w:val="none" w:sz="0" w:space="0" w:color="auto"/>
      </w:divBdr>
    </w:div>
    <w:div w:id="1972318259">
      <w:bodyDiv w:val="1"/>
      <w:marLeft w:val="0"/>
      <w:marRight w:val="0"/>
      <w:marTop w:val="0"/>
      <w:marBottom w:val="0"/>
      <w:divBdr>
        <w:top w:val="none" w:sz="0" w:space="0" w:color="auto"/>
        <w:left w:val="none" w:sz="0" w:space="0" w:color="auto"/>
        <w:bottom w:val="none" w:sz="0" w:space="0" w:color="auto"/>
        <w:right w:val="none" w:sz="0" w:space="0" w:color="auto"/>
      </w:divBdr>
    </w:div>
    <w:div w:id="1974366720">
      <w:bodyDiv w:val="1"/>
      <w:marLeft w:val="0"/>
      <w:marRight w:val="0"/>
      <w:marTop w:val="0"/>
      <w:marBottom w:val="0"/>
      <w:divBdr>
        <w:top w:val="none" w:sz="0" w:space="0" w:color="auto"/>
        <w:left w:val="none" w:sz="0" w:space="0" w:color="auto"/>
        <w:bottom w:val="none" w:sz="0" w:space="0" w:color="auto"/>
        <w:right w:val="none" w:sz="0" w:space="0" w:color="auto"/>
      </w:divBdr>
    </w:div>
    <w:div w:id="1978760146">
      <w:bodyDiv w:val="1"/>
      <w:marLeft w:val="0"/>
      <w:marRight w:val="0"/>
      <w:marTop w:val="0"/>
      <w:marBottom w:val="0"/>
      <w:divBdr>
        <w:top w:val="none" w:sz="0" w:space="0" w:color="auto"/>
        <w:left w:val="none" w:sz="0" w:space="0" w:color="auto"/>
        <w:bottom w:val="none" w:sz="0" w:space="0" w:color="auto"/>
        <w:right w:val="none" w:sz="0" w:space="0" w:color="auto"/>
      </w:divBdr>
    </w:div>
    <w:div w:id="1992322596">
      <w:bodyDiv w:val="1"/>
      <w:marLeft w:val="0"/>
      <w:marRight w:val="0"/>
      <w:marTop w:val="0"/>
      <w:marBottom w:val="0"/>
      <w:divBdr>
        <w:top w:val="none" w:sz="0" w:space="0" w:color="auto"/>
        <w:left w:val="none" w:sz="0" w:space="0" w:color="auto"/>
        <w:bottom w:val="none" w:sz="0" w:space="0" w:color="auto"/>
        <w:right w:val="none" w:sz="0" w:space="0" w:color="auto"/>
      </w:divBdr>
    </w:div>
    <w:div w:id="1996956505">
      <w:bodyDiv w:val="1"/>
      <w:marLeft w:val="0"/>
      <w:marRight w:val="0"/>
      <w:marTop w:val="0"/>
      <w:marBottom w:val="0"/>
      <w:divBdr>
        <w:top w:val="none" w:sz="0" w:space="0" w:color="auto"/>
        <w:left w:val="none" w:sz="0" w:space="0" w:color="auto"/>
        <w:bottom w:val="none" w:sz="0" w:space="0" w:color="auto"/>
        <w:right w:val="none" w:sz="0" w:space="0" w:color="auto"/>
      </w:divBdr>
    </w:div>
    <w:div w:id="2002346687">
      <w:bodyDiv w:val="1"/>
      <w:marLeft w:val="0"/>
      <w:marRight w:val="0"/>
      <w:marTop w:val="0"/>
      <w:marBottom w:val="0"/>
      <w:divBdr>
        <w:top w:val="none" w:sz="0" w:space="0" w:color="auto"/>
        <w:left w:val="none" w:sz="0" w:space="0" w:color="auto"/>
        <w:bottom w:val="none" w:sz="0" w:space="0" w:color="auto"/>
        <w:right w:val="none" w:sz="0" w:space="0" w:color="auto"/>
      </w:divBdr>
    </w:div>
    <w:div w:id="2011173423">
      <w:bodyDiv w:val="1"/>
      <w:marLeft w:val="0"/>
      <w:marRight w:val="0"/>
      <w:marTop w:val="0"/>
      <w:marBottom w:val="0"/>
      <w:divBdr>
        <w:top w:val="none" w:sz="0" w:space="0" w:color="auto"/>
        <w:left w:val="none" w:sz="0" w:space="0" w:color="auto"/>
        <w:bottom w:val="none" w:sz="0" w:space="0" w:color="auto"/>
        <w:right w:val="none" w:sz="0" w:space="0" w:color="auto"/>
      </w:divBdr>
    </w:div>
    <w:div w:id="2014449834">
      <w:bodyDiv w:val="1"/>
      <w:marLeft w:val="0"/>
      <w:marRight w:val="0"/>
      <w:marTop w:val="0"/>
      <w:marBottom w:val="0"/>
      <w:divBdr>
        <w:top w:val="none" w:sz="0" w:space="0" w:color="auto"/>
        <w:left w:val="none" w:sz="0" w:space="0" w:color="auto"/>
        <w:bottom w:val="none" w:sz="0" w:space="0" w:color="auto"/>
        <w:right w:val="none" w:sz="0" w:space="0" w:color="auto"/>
      </w:divBdr>
    </w:div>
    <w:div w:id="2031443800">
      <w:bodyDiv w:val="1"/>
      <w:marLeft w:val="0"/>
      <w:marRight w:val="0"/>
      <w:marTop w:val="0"/>
      <w:marBottom w:val="0"/>
      <w:divBdr>
        <w:top w:val="none" w:sz="0" w:space="0" w:color="auto"/>
        <w:left w:val="none" w:sz="0" w:space="0" w:color="auto"/>
        <w:bottom w:val="none" w:sz="0" w:space="0" w:color="auto"/>
        <w:right w:val="none" w:sz="0" w:space="0" w:color="auto"/>
      </w:divBdr>
    </w:div>
    <w:div w:id="2052463226">
      <w:bodyDiv w:val="1"/>
      <w:marLeft w:val="0"/>
      <w:marRight w:val="0"/>
      <w:marTop w:val="0"/>
      <w:marBottom w:val="0"/>
      <w:divBdr>
        <w:top w:val="none" w:sz="0" w:space="0" w:color="auto"/>
        <w:left w:val="none" w:sz="0" w:space="0" w:color="auto"/>
        <w:bottom w:val="none" w:sz="0" w:space="0" w:color="auto"/>
        <w:right w:val="none" w:sz="0" w:space="0" w:color="auto"/>
      </w:divBdr>
    </w:div>
    <w:div w:id="2060012675">
      <w:bodyDiv w:val="1"/>
      <w:marLeft w:val="0"/>
      <w:marRight w:val="0"/>
      <w:marTop w:val="0"/>
      <w:marBottom w:val="0"/>
      <w:divBdr>
        <w:top w:val="none" w:sz="0" w:space="0" w:color="auto"/>
        <w:left w:val="none" w:sz="0" w:space="0" w:color="auto"/>
        <w:bottom w:val="none" w:sz="0" w:space="0" w:color="auto"/>
        <w:right w:val="none" w:sz="0" w:space="0" w:color="auto"/>
      </w:divBdr>
    </w:div>
    <w:div w:id="2071994436">
      <w:bodyDiv w:val="1"/>
      <w:marLeft w:val="0"/>
      <w:marRight w:val="0"/>
      <w:marTop w:val="0"/>
      <w:marBottom w:val="0"/>
      <w:divBdr>
        <w:top w:val="none" w:sz="0" w:space="0" w:color="auto"/>
        <w:left w:val="none" w:sz="0" w:space="0" w:color="auto"/>
        <w:bottom w:val="none" w:sz="0" w:space="0" w:color="auto"/>
        <w:right w:val="none" w:sz="0" w:space="0" w:color="auto"/>
      </w:divBdr>
    </w:div>
    <w:div w:id="2075932447">
      <w:bodyDiv w:val="1"/>
      <w:marLeft w:val="0"/>
      <w:marRight w:val="0"/>
      <w:marTop w:val="0"/>
      <w:marBottom w:val="0"/>
      <w:divBdr>
        <w:top w:val="none" w:sz="0" w:space="0" w:color="auto"/>
        <w:left w:val="none" w:sz="0" w:space="0" w:color="auto"/>
        <w:bottom w:val="none" w:sz="0" w:space="0" w:color="auto"/>
        <w:right w:val="none" w:sz="0" w:space="0" w:color="auto"/>
      </w:divBdr>
    </w:div>
    <w:div w:id="2076005894">
      <w:bodyDiv w:val="1"/>
      <w:marLeft w:val="0"/>
      <w:marRight w:val="0"/>
      <w:marTop w:val="0"/>
      <w:marBottom w:val="0"/>
      <w:divBdr>
        <w:top w:val="none" w:sz="0" w:space="0" w:color="auto"/>
        <w:left w:val="none" w:sz="0" w:space="0" w:color="auto"/>
        <w:bottom w:val="none" w:sz="0" w:space="0" w:color="auto"/>
        <w:right w:val="none" w:sz="0" w:space="0" w:color="auto"/>
      </w:divBdr>
    </w:div>
    <w:div w:id="2097238083">
      <w:bodyDiv w:val="1"/>
      <w:marLeft w:val="0"/>
      <w:marRight w:val="0"/>
      <w:marTop w:val="0"/>
      <w:marBottom w:val="0"/>
      <w:divBdr>
        <w:top w:val="none" w:sz="0" w:space="0" w:color="auto"/>
        <w:left w:val="none" w:sz="0" w:space="0" w:color="auto"/>
        <w:bottom w:val="none" w:sz="0" w:space="0" w:color="auto"/>
        <w:right w:val="none" w:sz="0" w:space="0" w:color="auto"/>
      </w:divBdr>
    </w:div>
    <w:div w:id="2100563739">
      <w:bodyDiv w:val="1"/>
      <w:marLeft w:val="0"/>
      <w:marRight w:val="0"/>
      <w:marTop w:val="0"/>
      <w:marBottom w:val="0"/>
      <w:divBdr>
        <w:top w:val="none" w:sz="0" w:space="0" w:color="auto"/>
        <w:left w:val="none" w:sz="0" w:space="0" w:color="auto"/>
        <w:bottom w:val="none" w:sz="0" w:space="0" w:color="auto"/>
        <w:right w:val="none" w:sz="0" w:space="0" w:color="auto"/>
      </w:divBdr>
    </w:div>
    <w:div w:id="210908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Paleta 4703 v2">
      <a:dk1>
        <a:srgbClr val="0C0C0C"/>
      </a:dk1>
      <a:lt1>
        <a:sysClr val="window" lastClr="FFFFFF"/>
      </a:lt1>
      <a:dk2>
        <a:srgbClr val="595959"/>
      </a:dk2>
      <a:lt2>
        <a:srgbClr val="FFFFFF"/>
      </a:lt2>
      <a:accent1>
        <a:srgbClr val="093D93"/>
      </a:accent1>
      <a:accent2>
        <a:srgbClr val="2DB9FF"/>
      </a:accent2>
      <a:accent3>
        <a:srgbClr val="FFF13F"/>
      </a:accent3>
      <a:accent4>
        <a:srgbClr val="FE8F3C"/>
      </a:accent4>
      <a:accent5>
        <a:srgbClr val="66A22A"/>
      </a:accent5>
      <a:accent6>
        <a:srgbClr val="C00000"/>
      </a:accent6>
      <a:hlink>
        <a:srgbClr val="009DEA"/>
      </a:hlink>
      <a:folHlink>
        <a:srgbClr val="A5A5A5"/>
      </a:folHlink>
    </a:clrScheme>
    <a:fontScheme name="Motiv 4703">
      <a:majorFont>
        <a:latin typeface="Segoe UI Semibold"/>
        <a:ea typeface=""/>
        <a:cs typeface=""/>
      </a:majorFont>
      <a:minorFont>
        <a:latin typeface="Cambria"/>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0925E-CA71-42B6-A544-7D60C6F0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1459</Words>
  <Characters>8609</Characters>
  <Application>Microsoft Office Word</Application>
  <DocSecurity>0</DocSecurity>
  <Lines>71</Lines>
  <Paragraphs>20</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Ministerstvo financí</Company>
  <LinksUpToDate>false</LinksUpToDate>
  <CharactersWithSpaces>10048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Janíčková Barbora Ing.</dc:creator>
  <cp:lastModifiedBy>Janíčková Barbora Ing.</cp:lastModifiedBy>
  <cp:revision>6</cp:revision>
  <cp:lastPrinted>2015-03-31T13:35:00Z</cp:lastPrinted>
  <dcterms:created xsi:type="dcterms:W3CDTF">2015-03-31T13:18:00Z</dcterms:created>
  <dcterms:modified xsi:type="dcterms:W3CDTF">2015-03-31T13:35:00Z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A Počet faktur 2013 bez MO">
    <vt:lpwstr>62 856</vt:lpwstr>
  </property>
</Properties>
</file>