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Style w:val="TableGrid"/>
        <w:tblW w:w="0" w:type="auto"/>
        <w:tblCellMar>
          <w:left w:w="0" w:type="dxa"/>
          <w:right w:w="0" w:type="dxa"/>
        </w:tblCellMar>
        <w:tblLook w:val="04A0"/>
      </w:tblPr>
      <w:tblGrid>
        <w:gridCol w:w="5251"/>
        <w:gridCol w:w="5215"/>
      </w:tblGrid>
      <w:tr w:rsidTr="00930A94">
        <w:tblPrEx>
          <w:tblW w:w="0" w:type="auto"/>
          <w:tblCellMar>
            <w:left w:w="0" w:type="dxa"/>
            <w:right w:w="0" w:type="dxa"/>
          </w:tblCellMar>
          <w:tblLook w:val="04A0"/>
        </w:tblPrEx>
        <w:trPr>
          <w:trHeight w:hRule="exact" w:val="1701"/>
        </w:trPr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auto" w:fill="009DEA"/>
          </w:tcPr>
          <w:p w:rsidR="00375323" w:rsidP="00A758BD">
            <w:pPr>
              <w:spacing w:after="0"/>
              <w:jc w:val="left"/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3304371" cy="1080000"/>
                  <wp:effectExtent l="0" t="0" r="0" b="635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MF_male_pozadi.png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371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009DEA"/>
          </w:tcPr>
          <w:tbl>
            <w:tblPr>
              <w:tblStyle w:val="TableGrid"/>
              <w:tblW w:w="0" w:type="auto"/>
              <w:tblInd w:w="113" w:type="dxa"/>
              <w:tblCellMar>
                <w:top w:w="113" w:type="dxa"/>
                <w:left w:w="113" w:type="dxa"/>
                <w:bottom w:w="113" w:type="dxa"/>
              </w:tblCellMar>
              <w:tblLook w:val="04A0"/>
            </w:tblPr>
            <w:tblGrid>
              <w:gridCol w:w="5102"/>
            </w:tblGrid>
            <w:tr w:rsidTr="00930A94">
              <w:tblPrEx>
                <w:tblW w:w="0" w:type="auto"/>
                <w:tblInd w:w="113" w:type="dxa"/>
                <w:tblCellMar>
                  <w:top w:w="113" w:type="dxa"/>
                  <w:left w:w="113" w:type="dxa"/>
                  <w:bottom w:w="113" w:type="dxa"/>
                </w:tblCellMar>
                <w:tblLook w:val="04A0"/>
              </w:tblPrEx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oddělení Platební služby a tržní infrastruktura</w:t>
                  </w:r>
                </w:p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odbor Finanční trhy II</w:t>
                  </w:r>
                </w:p>
                <w:p w:rsidR="00930A94" w:rsidRPr="004C16F3" w:rsidP="00930A94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sekce Mezinárodní vztahy</w:t>
                  </w:r>
                  <w:r w:rsidR="00916A92">
                    <w:rPr>
                      <w:color w:val="FFFFFF" w:themeColor="background1"/>
                    </w:rPr>
                    <w:t xml:space="preserve"> a finanční trhy</w:t>
                  </w:r>
                </w:p>
                <w:p w:rsidR="00930A94" w:rsidP="00930A94">
                  <w:pPr>
                    <w:pStyle w:val="NoSpacing"/>
                    <w:jc w:val="right"/>
                    <w:rPr>
                      <w:color w:val="FFFFFF" w:themeColor="background1"/>
                    </w:rPr>
                  </w:pPr>
                  <w:r w:rsidRPr="004C16F3">
                    <w:rPr>
                      <w:color w:val="FFFFFF" w:themeColor="background1"/>
                    </w:rPr>
                    <w:t>e-mail: platebni.sluzby@mfcr.cz</w:t>
                  </w:r>
                </w:p>
              </w:tc>
            </w:tr>
            <w:tr w:rsidTr="00930A94">
              <w:tblPrEx>
                <w:tblW w:w="0" w:type="auto"/>
                <w:tblInd w:w="113" w:type="dxa"/>
                <w:tblCellMar>
                  <w:top w:w="113" w:type="dxa"/>
                  <w:left w:w="113" w:type="dxa"/>
                  <w:bottom w:w="113" w:type="dxa"/>
                </w:tblCellMar>
                <w:tblLook w:val="04A0"/>
              </w:tblPrEx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30A94" w:rsidRPr="004C16F3" w:rsidP="00A13416">
                  <w:pPr>
                    <w:pStyle w:val="NoSpacing"/>
                    <w:ind w:left="113"/>
                    <w:jc w:val="right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únor</w:t>
                  </w:r>
                  <w:r w:rsidR="00AA2559">
                    <w:rPr>
                      <w:color w:val="FFFFFF" w:themeColor="background1"/>
                    </w:rPr>
                    <w:t xml:space="preserve"> 202</w:t>
                  </w:r>
                  <w:r>
                    <w:rPr>
                      <w:color w:val="FFFFFF" w:themeColor="background1"/>
                    </w:rPr>
                    <w:t>2</w:t>
                  </w:r>
                </w:p>
              </w:tc>
            </w:tr>
          </w:tbl>
          <w:p w:rsidR="00375323" w:rsidP="00930A94">
            <w:pPr>
              <w:jc w:val="right"/>
            </w:pPr>
          </w:p>
        </w:tc>
      </w:tr>
    </w:tbl>
    <w:p w:rsidR="00660EB8" w:rsidRPr="00660EB8" w:rsidP="00660EB8">
      <w:pPr>
        <w:spacing w:before="240"/>
        <w:jc w:val="right"/>
        <w:rPr>
          <w:i/>
        </w:rPr>
      </w:pPr>
      <w:r w:rsidRPr="00660EB8">
        <w:rPr>
          <w:i/>
        </w:rPr>
        <w:t xml:space="preserve">Dotazník </w:t>
      </w:r>
      <w:r w:rsidR="00757AF1">
        <w:rPr>
          <w:i/>
        </w:rPr>
        <w:t>3</w:t>
      </w:r>
    </w:p>
    <w:p w:rsidR="00916A92" w:rsidP="00916A92">
      <w:pPr>
        <w:pStyle w:val="Nzevdokumentu"/>
      </w:pPr>
      <w:r>
        <w:t>Vyhodnocení zákona o platebním styku a směrnice psd2</w:t>
      </w:r>
    </w:p>
    <w:p w:rsidR="00916A92" w:rsidP="00916A92">
      <w:pPr>
        <w:spacing w:before="120"/>
      </w:pPr>
      <w:r>
        <w:t>V lednu 2018 vstoupil v účinnost zákon č. 370/2017 Sb., o platebním styku. Ten transponuje druhou evropskou směrnici o platebních službách</w:t>
      </w:r>
      <w:r>
        <w:rPr>
          <w:rStyle w:val="FootnoteReference"/>
        </w:rPr>
        <w:footnoteReference w:id="2"/>
      </w:r>
      <w:r>
        <w:t>; známou jako PSD2. Evropská komise se podle dostupných informací chystá v prvním čtvrtletí roku 2022 zahájit veřejnou konzultaci k vyhodnocení úspěšnosti směrnice PSD2.</w:t>
      </w:r>
    </w:p>
    <w:p w:rsidR="00916A92" w:rsidP="00916A92">
      <w:pPr>
        <w:spacing w:before="120"/>
      </w:pPr>
      <w:r>
        <w:t xml:space="preserve">Ministerstvo financí proto jako gestor zákona o platebním styku vyzývá </w:t>
      </w:r>
      <w:r w:rsidR="008318FF">
        <w:t xml:space="preserve">spotřebitele i </w:t>
      </w:r>
      <w:r>
        <w:t>odbornou veřejnost, aby ze svého pohledu zhodnotila úspěšnost a aktuálnost evropské směrnic</w:t>
      </w:r>
      <w:r w:rsidR="008318FF">
        <w:t>e PSD2 a českého zákona o </w:t>
      </w:r>
      <w:r>
        <w:t>platebním styku. Získané poznatky budou využity při tvorbě odpovědi ČR na konzultaci Evropské komise a při tvorbě pozice ČR k budoucí revizi směrnice PSD2. Souhrnné vyhodnocení této konzultace bude zveřejněno na internetových stránkách Ministerstva financí.</w:t>
      </w:r>
    </w:p>
    <w:p w:rsidR="00916A92" w:rsidP="00916A92">
      <w:pPr>
        <w:spacing w:before="120"/>
      </w:pPr>
      <w:r>
        <w:t>V rámci hodnocení směrnice PSD2 lze očekávat i diskusi nad režimem elektronických peněz (směrnice EMD2</w:t>
      </w:r>
      <w:r>
        <w:rPr>
          <w:rStyle w:val="FootnoteReference"/>
        </w:rPr>
        <w:footnoteReference w:id="3"/>
      </w:r>
      <w:r>
        <w:t>).</w:t>
      </w:r>
    </w:p>
    <w:p w:rsidR="00916A92" w:rsidRPr="006B52EC" w:rsidP="00916A92">
      <w:pPr>
        <w:spacing w:before="120"/>
        <w:rPr>
          <w:b/>
        </w:rPr>
      </w:pPr>
      <w:r w:rsidRPr="006B52EC">
        <w:rPr>
          <w:b/>
        </w:rPr>
        <w:t xml:space="preserve">Vaše odpovědi prosím vyplňte a pomocí </w:t>
      </w:r>
      <w:r>
        <w:fldChar w:fldCharType="begin"/>
      </w:r>
      <w:r>
        <w:instrText xml:space="preserve"> HYPERLINK "https://ec.europa.eu/eusurvey/runner/PSD2_prezkum_CZ" </w:instrText>
      </w:r>
      <w:r>
        <w:fldChar w:fldCharType="separate"/>
      </w:r>
      <w:r w:rsidRPr="006B52EC">
        <w:rPr>
          <w:rStyle w:val="Hyperlink"/>
          <w:b/>
        </w:rPr>
        <w:t>webového formuláře</w:t>
      </w:r>
      <w:r>
        <w:fldChar w:fldCharType="end"/>
      </w:r>
      <w:r w:rsidRPr="006B52EC">
        <w:rPr>
          <w:b/>
        </w:rPr>
        <w:t xml:space="preserve"> odešlete do </w:t>
      </w:r>
      <w:r w:rsidR="00DC0144">
        <w:rPr>
          <w:b/>
        </w:rPr>
        <w:t>1</w:t>
      </w:r>
      <w:r w:rsidR="00682C5B">
        <w:rPr>
          <w:b/>
        </w:rPr>
        <w:t>7</w:t>
      </w:r>
      <w:bookmarkStart w:id="0" w:name="_GoBack"/>
      <w:bookmarkEnd w:id="0"/>
      <w:r w:rsidR="00DC0144">
        <w:rPr>
          <w:b/>
        </w:rPr>
        <w:t>. března</w:t>
      </w:r>
      <w:r w:rsidRPr="006B52EC">
        <w:rPr>
          <w:b/>
        </w:rPr>
        <w:t xml:space="preserve"> 2022, případně nám odpovědi do stejného data zašlete vyplněné v tomto dokumentu na e-mailovou adresu platebni.sluzby@mfcr.cz.</w:t>
      </w:r>
    </w:p>
    <w:p w:rsidR="00916A92" w:rsidRPr="006B52EC" w:rsidP="00916A92">
      <w:pPr>
        <w:spacing w:before="120"/>
      </w:pPr>
      <w:r w:rsidRPr="006B52EC">
        <w:t>Ministerstvo financí Vám děkuje za zaslané odpovědi.</w:t>
      </w:r>
    </w:p>
    <w:p w:rsidR="00916A92" w:rsidP="00916A92"/>
    <w:p w:rsidR="008C2150" w:rsidRPr="00D22883" w:rsidP="00E61330">
      <w:pPr>
        <w:rPr>
          <w:rFonts w:cs="Arial"/>
          <w:u w:val="single"/>
        </w:rPr>
      </w:pPr>
      <w:r w:rsidRPr="00D517B6">
        <w:rPr>
          <w:rFonts w:cs="Arial"/>
          <w:u w:val="single"/>
        </w:rPr>
        <w:t>A. Úvod</w:t>
      </w:r>
    </w:p>
    <w:p w:rsidR="00757AF1" w:rsidP="00757AF1">
      <w:pPr>
        <w:rPr>
          <w:rFonts w:cs="Arial"/>
          <w:b/>
        </w:rPr>
      </w:pPr>
      <w:r>
        <w:rPr>
          <w:rFonts w:cs="Arial"/>
          <w:b/>
        </w:rPr>
        <w:t>Odpovídáte jako</w:t>
      </w:r>
    </w:p>
    <w:p w:rsidR="00757AF1" w:rsidP="00757AF1">
      <w:sdt>
        <w:sdtPr>
          <w:id w:val="-1646737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57AF1">
        <w:t>Finanční instituce nebo asociace finančních institucí</w:t>
      </w:r>
    </w:p>
    <w:p w:rsidR="00757AF1" w:rsidP="00757AF1">
      <w:pPr>
        <w:ind w:left="284" w:hanging="284"/>
      </w:pPr>
      <w:sdt>
        <w:sdtPr>
          <w:id w:val="-159339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57AF1">
        <w:t>Advokátní kancelář</w:t>
      </w:r>
    </w:p>
    <w:p w:rsidR="00757AF1" w:rsidP="00757AF1">
      <w:sdt>
        <w:sdtPr>
          <w:id w:val="34800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57AF1">
        <w:t>Orgán dohledu</w:t>
      </w:r>
    </w:p>
    <w:p w:rsidR="00757AF1" w:rsidP="00757AF1">
      <w:pPr>
        <w:ind w:left="284" w:hanging="284"/>
      </w:pPr>
      <w:sdt>
        <w:sdtPr>
          <w:id w:val="-762224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757AF1">
        <w:t>Spotřebitelská asociace</w:t>
      </w:r>
    </w:p>
    <w:p w:rsidR="00757AF1" w:rsidP="00757AF1">
      <w:pPr>
        <w:ind w:left="284" w:hanging="284"/>
      </w:pPr>
      <w:sdt>
        <w:sdtPr>
          <w:id w:val="-673338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Jiná instituce či subjekt – prosím uveďte typ subjektu</w:t>
      </w:r>
      <w:r w:rsidR="008C2150">
        <w:t>:</w:t>
      </w:r>
    </w:p>
    <w:p w:rsidR="00D22883" w:rsidP="00757AF1">
      <w:pPr>
        <w:ind w:left="284" w:hanging="284"/>
      </w:pPr>
    </w:p>
    <w:p w:rsidR="00D22883" w:rsidP="00D22883">
      <w:pPr>
        <w:rPr>
          <w:i/>
        </w:rPr>
      </w:pPr>
      <w:r w:rsidRPr="00757AF1">
        <w:rPr>
          <w:i/>
        </w:rPr>
        <w:t>Odpovídáte-li jako spotřebitel, obchodník či asociace sdružující obchodníky, využijte prosím dotazník 1 (spotřebitelé) nebo dotazník 2 (obchodníci, asociace sdružující obchodníky).</w:t>
      </w:r>
    </w:p>
    <w:p w:rsidR="00D22883" w:rsidP="00757AF1">
      <w:pPr>
        <w:ind w:left="284" w:hanging="284"/>
      </w:pPr>
    </w:p>
    <w:p w:rsidR="00D22883" w:rsidRPr="005A3D2A" w:rsidP="00D22883">
      <w:pPr>
        <w:rPr>
          <w:b/>
        </w:rPr>
      </w:pPr>
      <w:r w:rsidRPr="005A3D2A">
        <w:rPr>
          <w:b/>
        </w:rPr>
        <w:t>Pokud odpovídáte jako právnická osoba, uveďte prosím název subjektu (právnické osoby):</w:t>
      </w:r>
    </w:p>
    <w:p w:rsidR="00CE4CBE" w:rsidP="00CE4CBE"/>
    <w:p w:rsidR="00D22883" w:rsidP="00CE4CBE"/>
    <w:p w:rsidR="00CE4CBE" w:rsidRPr="00D517B6" w:rsidP="00CE4CBE">
      <w:pPr>
        <w:rPr>
          <w:u w:val="single"/>
        </w:rPr>
      </w:pPr>
      <w:r w:rsidRPr="00D517B6">
        <w:rPr>
          <w:u w:val="single"/>
        </w:rPr>
        <w:t>B. Otázky</w:t>
      </w: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8C2150">
        <w:rPr>
          <w:rFonts w:cs="Arial"/>
          <w:b/>
        </w:rPr>
        <w:t>Jak hodnotíte působnost směrnice PSD2? Existují na trhu platebních služeb nové subjekty, které by měly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být regulovány? Existuje nějaká výjimka z působnosti směrnice, která by měla být zrušena (srov. § 3 odst.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3 zákona o platebním styku)? Existuje naopak segment trhu, který by měl být z regulace vyřazen?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Zdůvodněte.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Je podle Vás vhodné změnit či vyjasnit nějakou z definic směrnice (čl. 4 PSD2)? Jak?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nastavení licenčního řízení pro platební instituce (čl. 5 a násl. PSD2), instituce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elektronických peněz (čl. 5 a násl. PSD2, čl. 3 EMD2), poskytovatele platebních služeb malého rozsahu (čl.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 xml:space="preserve">32 PSD2), vydavatele elektronických peněz malého rozsahu (čl. </w:t>
      </w:r>
      <w:r w:rsidRPr="001A0DB2">
        <w:rPr>
          <w:rFonts w:cs="Arial"/>
          <w:b/>
        </w:rPr>
        <w:t xml:space="preserve">9 EMD2) nebo správce informací o </w:t>
      </w:r>
      <w:r w:rsidRPr="001A0DB2">
        <w:rPr>
          <w:rFonts w:cs="Arial"/>
          <w:b/>
        </w:rPr>
        <w:t>platebním účtu (čl. 33 PSD2)? Jaká je Vaše praktická zkušenost</w:t>
      </w:r>
      <w:r w:rsidR="00727985">
        <w:rPr>
          <w:rFonts w:cs="Arial"/>
          <w:b/>
        </w:rPr>
        <w:t xml:space="preserve"> s </w:t>
      </w:r>
      <w:r w:rsidRPr="001A0DB2">
        <w:rPr>
          <w:rFonts w:cs="Arial"/>
          <w:b/>
        </w:rPr>
        <w:t>licenčním řízením?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Co by podle Vás mělo být na licenčním procesu nebankovních poskytovatelů platebních služeb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změněno?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nastavení výjimek pro poskytovatele pla</w:t>
      </w:r>
      <w:r w:rsidR="00727985">
        <w:rPr>
          <w:rFonts w:cs="Arial"/>
          <w:b/>
        </w:rPr>
        <w:t>tebních služeb malého rozsahu a </w:t>
      </w:r>
      <w:r w:rsidRPr="001A0DB2">
        <w:rPr>
          <w:rFonts w:cs="Arial"/>
          <w:b/>
        </w:rPr>
        <w:t>vydavatele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elektronických peněz malého rozsahu (čl. 32 PSD2)?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727985" w:rsidP="00727985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požadavek na pojištění rizik spojených s nepřímým dáním platebního příkazu (PIS) a</w:t>
      </w:r>
      <w:r w:rsidRPr="001A0DB2" w:rsid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informováním o platebním účtu (AIS), které je vyžadováno od nebankovních poskytovatelů? Je podle Vás</w:t>
      </w:r>
      <w:r w:rsidRPr="001A0DB2" w:rsid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třeba, aby PSD2 lépe vyjasnila, jaká rizika mají být tímto pojištěním kryta?</w:t>
      </w:r>
    </w:p>
    <w:p w:rsidR="00727985" w:rsidRP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požadavky na řídící a kontrolní systém (§ 20, § 78 zákona o platebním styku, obecné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pokyny EBA k informacím, které mají být poskytnuty pro udělení povolení k výkonu činnosti platebních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institucí a institucí elektronických peněz a k registraci poskytovatelů služeb informování o účtu podle čl. 5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 xml:space="preserve">odst. 5 směrnice (EU) 2015/2366)? 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RPr="00727985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Měly by mít nebankovní poskytovatelé platebních služeb přístup do platebních systémů s</w:t>
      </w:r>
      <w:r w:rsidR="00727985">
        <w:rPr>
          <w:rFonts w:cs="Arial"/>
          <w:b/>
        </w:rPr>
        <w:t> </w:t>
      </w:r>
      <w:r w:rsidRPr="001A0DB2">
        <w:rPr>
          <w:rFonts w:cs="Arial"/>
          <w:b/>
        </w:rPr>
        <w:t>neodvolatelností zúčtování (v ČR CERTIS provozovaný Českou národní bankou)? Za jakých podmínek?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Zdůvodněte.</w:t>
      </w:r>
      <w:r w:rsidRPr="008C2150">
        <w:t xml:space="preserve"> </w:t>
      </w:r>
    </w:p>
    <w:p w:rsidR="00727985" w:rsidRPr="001A0DB2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RPr="00727985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úpravu informačních povinností (§ 132 až 151 zákona o platebním styku)? Měla by být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úprava změněna, jak?</w:t>
      </w:r>
      <w:r w:rsidRPr="008C2150">
        <w:t xml:space="preserve"> </w:t>
      </w:r>
    </w:p>
    <w:p w:rsidR="00727985" w:rsidRPr="001A0DB2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nastavení procesu změny a výpovědi závazku</w:t>
      </w:r>
      <w:r w:rsidRPr="001A0DB2">
        <w:rPr>
          <w:rFonts w:cs="Arial"/>
          <w:b/>
        </w:rPr>
        <w:t xml:space="preserve"> z rámcové smlouvy o platebních </w:t>
      </w:r>
      <w:r w:rsidRPr="001A0DB2">
        <w:rPr>
          <w:rFonts w:cs="Arial"/>
          <w:b/>
        </w:rPr>
        <w:t>službách</w:t>
      </w:r>
      <w:r w:rsidRP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 xml:space="preserve">(§ 152 až 155 zákona o platebním styku)? 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Máte nějaké komentáře k nastavení pravidel pro autorizaci platební transakce?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nastavení pravidel pro silné ověření uživatele (SCA)? Jak hodnotíte zavádění silného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ověření do praxe? Považujete výjimky ze SCA dané prováděcím nařízením Evropské komise za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dostatečné?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pravidla pro novou platební službu nepřímého dání platebního příkazu (PIS)? Měla by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tato pravidla být změněna, jak?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727985" w:rsidP="00727985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pravidla pro novou platební službu informování o platebním účtu (AIS)? Měla by tato</w:t>
      </w:r>
      <w:r w:rsidR="001A0DB2">
        <w:rPr>
          <w:rFonts w:cs="Arial"/>
          <w:b/>
        </w:rPr>
        <w:t xml:space="preserve"> </w:t>
      </w:r>
      <w:r w:rsidRPr="001A0DB2">
        <w:rPr>
          <w:rFonts w:cs="Arial"/>
          <w:b/>
        </w:rPr>
        <w:t>pravidla být změněna, jak?</w:t>
      </w:r>
    </w:p>
    <w:p w:rsidR="00727985" w:rsidRP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Jak hodnotíte nastavení lhůt pro provádění platebních transakcí? Mělo by u karetních transakcí dojít k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vyjasnění lhůt pro připsání částky obchodníkovi, jak?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Máte nějaké komentář k úpravě nápravy nesprávně provedené nebo neautorizované platební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transakce? Uveďte.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Je nadále důvodné zachovat režim pro existenci režimu pro e</w:t>
      </w:r>
      <w:r w:rsidR="00727985">
        <w:rPr>
          <w:rFonts w:cs="Arial"/>
          <w:b/>
        </w:rPr>
        <w:t>lektronické peníze (§</w:t>
      </w:r>
      <w:r w:rsidR="00D22883">
        <w:rPr>
          <w:rFonts w:cs="Arial"/>
          <w:b/>
        </w:rPr>
        <w:t xml:space="preserve"> </w:t>
      </w:r>
      <w:r w:rsidR="00727985">
        <w:rPr>
          <w:rFonts w:cs="Arial"/>
          <w:b/>
        </w:rPr>
        <w:t>4, § 193 a </w:t>
      </w:r>
      <w:r w:rsidRPr="001A0DB2">
        <w:rPr>
          <w:rFonts w:cs="Arial"/>
          <w:b/>
        </w:rPr>
        <w:t>násl.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zákona o platebním styku)?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Máte nějaké komentáře ke hlášení provozních a bezpečnostních incidentů? Jaké?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Uveďte Vaše komentáře k nastavení přestupků v zákoně o platebním styku.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 xml:space="preserve">Je podle Vás třeba v zákoně o platebním styku či v PSD2 vyjasnit či upravit otázky dohledu? Jak? 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Máte nějakou připomínku k seznamům nebankovních poskytovatelů platebních služeb, kter</w:t>
      </w:r>
      <w:r w:rsidR="00727985">
        <w:rPr>
          <w:rFonts w:cs="Arial"/>
          <w:b/>
        </w:rPr>
        <w:t>é</w:t>
      </w:r>
      <w:r w:rsidRPr="001A0DB2">
        <w:rPr>
          <w:rFonts w:cs="Arial"/>
          <w:b/>
        </w:rPr>
        <w:t xml:space="preserve"> vede</w:t>
      </w:r>
      <w:r>
        <w:rPr>
          <w:rFonts w:cs="Arial"/>
          <w:b/>
        </w:rPr>
        <w:t xml:space="preserve"> </w:t>
      </w:r>
      <w:r w:rsidRPr="001A0DB2">
        <w:rPr>
          <w:rFonts w:cs="Arial"/>
          <w:b/>
        </w:rPr>
        <w:t>Česká národní banka či Evropský orgán pro bankovnictví? Uveďte.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Máte jakýkoliv jiný komentář k zákonu o platebním styku? Uveďte.</w:t>
      </w:r>
    </w:p>
    <w:p w:rsidR="00727985" w:rsidP="00727985">
      <w:pPr>
        <w:pStyle w:val="ListParagraph"/>
        <w:tabs>
          <w:tab w:val="left" w:pos="567"/>
        </w:tabs>
        <w:spacing w:before="120"/>
        <w:ind w:left="567"/>
        <w:rPr>
          <w:rFonts w:cs="Arial"/>
          <w:b/>
        </w:rPr>
      </w:pPr>
    </w:p>
    <w:p w:rsidR="008C2150" w:rsidRPr="001A0DB2" w:rsidP="001A0DB2">
      <w:pPr>
        <w:pStyle w:val="ListParagraph"/>
        <w:numPr>
          <w:ilvl w:val="0"/>
          <w:numId w:val="9"/>
        </w:numPr>
        <w:tabs>
          <w:tab w:val="left" w:pos="567"/>
        </w:tabs>
        <w:spacing w:before="120"/>
        <w:ind w:left="567" w:hanging="567"/>
        <w:rPr>
          <w:rFonts w:cs="Arial"/>
          <w:b/>
        </w:rPr>
      </w:pPr>
      <w:r w:rsidRPr="001A0DB2">
        <w:rPr>
          <w:rFonts w:cs="Arial"/>
          <w:b/>
        </w:rPr>
        <w:t>Máte jakýkoliv jiný komentář ke směrnicím PSD2 nebo EMD2? Uveďte.</w:t>
      </w:r>
    </w:p>
    <w:p w:rsidR="008C2150" w:rsidRPr="00CE4CBE" w:rsidP="008C2150">
      <w:pPr>
        <w:autoSpaceDE w:val="0"/>
        <w:autoSpaceDN w:val="0"/>
        <w:adjustRightInd w:val="0"/>
        <w:spacing w:before="120"/>
        <w:jc w:val="left"/>
        <w:rPr>
          <w:rFonts w:cs="Arial"/>
        </w:rPr>
      </w:pPr>
    </w:p>
    <w:sectPr w:rsidSect="00E61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C0966" w:rsidP="00CC3ACB">
    <w:pPr>
      <w:pStyle w:val="Footer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682C5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002CD" w:rsidP="00CE2497">
      <w:pPr>
        <w:spacing w:after="0" w:line="240" w:lineRule="auto"/>
      </w:pPr>
      <w:r>
        <w:separator/>
      </w:r>
    </w:p>
  </w:footnote>
  <w:footnote w:type="continuationSeparator" w:id="1">
    <w:p w:rsidR="00B002CD" w:rsidP="00CE2497">
      <w:pPr>
        <w:spacing w:after="0" w:line="240" w:lineRule="auto"/>
      </w:pPr>
      <w:r>
        <w:continuationSeparator/>
      </w:r>
    </w:p>
  </w:footnote>
  <w:footnote w:id="2">
    <w:p w:rsidR="00114EE1" w:rsidRPr="00114EE1" w:rsidP="00114EE1">
      <w:pPr>
        <w:pStyle w:val="FootnoteText"/>
        <w:spacing w:line="276" w:lineRule="auto"/>
      </w:pPr>
      <w:r w:rsidRPr="00114EE1">
        <w:rPr>
          <w:rStyle w:val="FootnoteReference"/>
        </w:rPr>
        <w:footnoteRef/>
      </w:r>
      <w:r w:rsidRPr="00114EE1">
        <w:t xml:space="preserve"> Směrnice Evropského parlamentu a Rady (EU) 2015/2366 ze dne 25. listopadu 2015 o platebních službách na vnitřním trhu, kterou se mění směrnice 2002/65/ES, 2009/110/ES a 2013/36/EU a nařízení </w:t>
      </w:r>
      <w:r>
        <w:t>(EU) č. 1093/2010 a </w:t>
      </w:r>
      <w:r w:rsidRPr="00114EE1">
        <w:t>zrušuje směrnice 2007/64/ES.</w:t>
      </w:r>
    </w:p>
  </w:footnote>
  <w:footnote w:id="3">
    <w:p w:rsidR="00114EE1" w:rsidRPr="00114EE1" w:rsidP="00114EE1">
      <w:pPr>
        <w:pStyle w:val="FootnoteText"/>
        <w:spacing w:line="276" w:lineRule="auto"/>
        <w:rPr>
          <w:sz w:val="18"/>
        </w:rPr>
      </w:pPr>
      <w:r w:rsidRPr="00114EE1">
        <w:rPr>
          <w:rStyle w:val="FootnoteReference"/>
        </w:rPr>
        <w:footnoteRef/>
      </w:r>
      <w:r w:rsidRPr="00114EE1">
        <w:t xml:space="preserve"> Směrnice Evropského parlamentu a Rady 2009/110/ES ze dne 16. září 2009 o přístupu k činnosti institucí elektronických peněz, o jejím výkonu a o obezřetnostním dohledu nad touto činností, o změně </w:t>
      </w:r>
      <w:r>
        <w:t>směrnic 2005/60/ES a </w:t>
      </w:r>
      <w:r w:rsidRPr="00114EE1">
        <w:t>2006/48/ES a o zrušení směrnice 2000/46/ES.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3A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EB76B5"/>
    <w:multiLevelType w:val="hybridMultilevel"/>
    <w:tmpl w:val="8224032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93793"/>
    <w:multiLevelType w:val="hybridMultilevel"/>
    <w:tmpl w:val="A53C61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95D5F"/>
    <w:multiLevelType w:val="hybridMultilevel"/>
    <w:tmpl w:val="BC186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6A684A"/>
    <w:multiLevelType w:val="hybridMultilevel"/>
    <w:tmpl w:val="5E625C8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A5B82"/>
    <w:multiLevelType w:val="hybridMultilevel"/>
    <w:tmpl w:val="B70A97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044CCA"/>
    <w:multiLevelType w:val="hybridMultilevel"/>
    <w:tmpl w:val="60644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1F4C30"/>
    <w:multiLevelType w:val="hybridMultilevel"/>
    <w:tmpl w:val="2730E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57CA7"/>
    <w:multiLevelType w:val="hybridMultilevel"/>
    <w:tmpl w:val="AB069D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E4126"/>
    <w:multiLevelType w:val="hybridMultilevel"/>
    <w:tmpl w:val="302E9B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5DE0"/>
    <w:pPr>
      <w:spacing w:after="120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Nadpis1Char"/>
    <w:uiPriority w:val="9"/>
    <w:qFormat/>
    <w:rsid w:val="00141D56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475DE0"/>
    <w:pPr>
      <w:keepNext/>
      <w:keepLines/>
      <w:outlineLvl w:val="1"/>
    </w:pPr>
    <w:rPr>
      <w:rFonts w:eastAsiaTheme="majorEastAsia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37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37532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DefaultParagraphFont"/>
    <w:link w:val="Heading1"/>
    <w:uiPriority w:val="9"/>
    <w:rsid w:val="00141D56"/>
    <w:rPr>
      <w:rFonts w:ascii="Arial" w:hAnsi="Arial" w:eastAsiaTheme="majorEastAsia" w:cstheme="majorBidi"/>
      <w:b/>
      <w:bCs/>
      <w:sz w:val="28"/>
      <w:szCs w:val="28"/>
    </w:rPr>
  </w:style>
  <w:style w:type="character" w:customStyle="1" w:styleId="Nadpis2Char">
    <w:name w:val="Nadpis 2 Char"/>
    <w:basedOn w:val="DefaultParagraphFont"/>
    <w:link w:val="Heading2"/>
    <w:uiPriority w:val="9"/>
    <w:rsid w:val="00475DE0"/>
    <w:rPr>
      <w:rFonts w:ascii="Arial" w:hAnsi="Arial" w:eastAsiaTheme="majorEastAsia" w:cstheme="majorBidi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37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5DE0"/>
    <w:pPr>
      <w:jc w:val="left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75DE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75DE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A7EC5"/>
    <w:pPr>
      <w:spacing w:after="100"/>
      <w:ind w:left="220"/>
    </w:pPr>
    <w:rPr>
      <w:rFonts w:eastAsiaTheme="minorEastAsia"/>
      <w:lang w:eastAsia="cs-CZ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75DE0"/>
    <w:pPr>
      <w:spacing w:after="100"/>
      <w:ind w:left="440"/>
      <w:jc w:val="left"/>
    </w:pPr>
    <w:rPr>
      <w:rFonts w:asciiTheme="minorHAnsi" w:eastAsiaTheme="minorEastAsia" w:hAnsiTheme="minorHAnsi"/>
      <w:lang w:eastAsia="cs-CZ"/>
    </w:rPr>
  </w:style>
  <w:style w:type="paragraph" w:styleId="NoSpacing">
    <w:name w:val="No Spacing"/>
    <w:uiPriority w:val="1"/>
    <w:qFormat/>
    <w:rsid w:val="004A6B14"/>
    <w:pPr>
      <w:spacing w:after="0" w:line="240" w:lineRule="auto"/>
      <w:jc w:val="both"/>
    </w:pPr>
    <w:rPr>
      <w:rFonts w:ascii="Arial" w:hAnsi="Arial"/>
    </w:rPr>
  </w:style>
  <w:style w:type="paragraph" w:styleId="Header">
    <w:name w:val="header"/>
    <w:basedOn w:val="Normal"/>
    <w:link w:val="ZhlavChar"/>
    <w:uiPriority w:val="99"/>
    <w:unhideWhenUsed/>
    <w:rsid w:val="00C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E2497"/>
    <w:rPr>
      <w:rFonts w:ascii="Arial" w:hAnsi="Arial"/>
    </w:rPr>
  </w:style>
  <w:style w:type="paragraph" w:styleId="Footer">
    <w:name w:val="footer"/>
    <w:basedOn w:val="Normal"/>
    <w:link w:val="ZpatChar"/>
    <w:uiPriority w:val="99"/>
    <w:unhideWhenUsed/>
    <w:rsid w:val="00CE2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E2497"/>
    <w:rPr>
      <w:rFonts w:ascii="Arial" w:hAnsi="Arial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1F4F9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1F4F9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4F9C"/>
    <w:rPr>
      <w:vertAlign w:val="superscript"/>
    </w:rPr>
  </w:style>
  <w:style w:type="paragraph" w:customStyle="1" w:styleId="Tabulka">
    <w:name w:val="Tabulka"/>
    <w:basedOn w:val="Normal"/>
    <w:link w:val="TabulkaChar"/>
    <w:qFormat/>
    <w:rsid w:val="00B973F0"/>
    <w:pPr>
      <w:spacing w:after="0" w:line="240" w:lineRule="auto"/>
      <w:jc w:val="left"/>
    </w:pPr>
    <w:rPr>
      <w:rFonts w:eastAsia="Times New Roman" w:cs="Arial"/>
      <w:bCs/>
      <w:color w:val="000000"/>
      <w:sz w:val="18"/>
      <w:lang w:eastAsia="cs-CZ"/>
    </w:rPr>
  </w:style>
  <w:style w:type="paragraph" w:styleId="ListParagraph">
    <w:name w:val="List Paragraph"/>
    <w:basedOn w:val="Normal"/>
    <w:uiPriority w:val="34"/>
    <w:qFormat/>
    <w:rsid w:val="00775111"/>
    <w:pPr>
      <w:ind w:left="720"/>
      <w:contextualSpacing/>
    </w:pPr>
  </w:style>
  <w:style w:type="character" w:customStyle="1" w:styleId="TabulkaChar">
    <w:name w:val="Tabulka Char"/>
    <w:basedOn w:val="DefaultParagraphFont"/>
    <w:link w:val="Tabulka"/>
    <w:rsid w:val="00B973F0"/>
    <w:rPr>
      <w:rFonts w:ascii="Arial" w:eastAsia="Times New Roman" w:hAnsi="Arial" w:cs="Arial"/>
      <w:bCs/>
      <w:color w:val="000000"/>
      <w:sz w:val="18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B14D3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7B14D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7B14D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7B14D3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7B14D3"/>
    <w:rPr>
      <w:rFonts w:ascii="Arial" w:hAnsi="Arial"/>
      <w:b/>
      <w:bCs/>
      <w:sz w:val="20"/>
      <w:szCs w:val="20"/>
    </w:rPr>
  </w:style>
  <w:style w:type="paragraph" w:customStyle="1" w:styleId="Nzevdokumentu">
    <w:name w:val="Název dokumentu"/>
    <w:basedOn w:val="Heading1"/>
    <w:next w:val="Normal"/>
    <w:link w:val="NzevdokumentuChar"/>
    <w:qFormat/>
    <w:rsid w:val="00435D0C"/>
    <w:pPr>
      <w:spacing w:before="240"/>
    </w:pPr>
    <w:rPr>
      <w:caps/>
      <w:sz w:val="32"/>
    </w:rPr>
  </w:style>
  <w:style w:type="character" w:customStyle="1" w:styleId="NzevdokumentuChar">
    <w:name w:val="Název dokumentu Char"/>
    <w:basedOn w:val="Nadpis1Char"/>
    <w:link w:val="Nzevdokumentu"/>
    <w:rsid w:val="00435D0C"/>
    <w:rPr>
      <w:rFonts w:ascii="Arial" w:hAnsi="Arial" w:eastAsiaTheme="majorEastAsia" w:cstheme="majorBidi"/>
      <w:b/>
      <w:bCs/>
      <w:caps/>
      <w:sz w:val="32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6B52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3808-3A26-43E4-B5D1-79BCFFC6E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179</TotalTime>
  <Pages>3</Pages>
  <Words>798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11</cp:revision>
  <dcterms:created xsi:type="dcterms:W3CDTF">2022-01-31T09:16:00Z</dcterms:created>
</cp:coreProperties>
</file>