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Style w:val="TableGrid"/>
        <w:tblW w:w="0" w:type="auto"/>
        <w:tblCellMar>
          <w:left w:w="0" w:type="dxa"/>
          <w:right w:w="0" w:type="dxa"/>
        </w:tblCellMar>
        <w:tblLook w:val="04A0"/>
      </w:tblPr>
      <w:tblGrid>
        <w:gridCol w:w="5251"/>
        <w:gridCol w:w="5215"/>
      </w:tblGrid>
      <w:tr w:rsidTr="005D1255">
        <w:tblPrEx>
          <w:tblW w:w="0" w:type="auto"/>
          <w:tblCellMar>
            <w:left w:w="0" w:type="dxa"/>
            <w:right w:w="0" w:type="dxa"/>
          </w:tblCellMar>
          <w:tblLook w:val="04A0"/>
        </w:tblPrEx>
        <w:trPr>
          <w:trHeight w:hRule="exact" w:val="1701"/>
        </w:trPr>
        <w:tc>
          <w:tcPr>
            <w:tcW w:w="5251" w:type="dxa"/>
            <w:tcBorders>
              <w:top w:val="nil"/>
              <w:left w:val="nil"/>
              <w:bottom w:val="nil"/>
              <w:right w:val="nil"/>
            </w:tcBorders>
            <w:shd w:val="clear" w:color="auto" w:fill="009DEA"/>
          </w:tcPr>
          <w:p w:rsidR="00375323" w:rsidP="007E4430">
            <w:pPr>
              <w:spacing w:after="0" w:line="276" w:lineRule="auto"/>
              <w:jc w:val="left"/>
            </w:pPr>
            <w:r>
              <w:rPr>
                <w:noProof/>
                <w:lang w:eastAsia="cs-CZ"/>
              </w:rPr>
              <w:drawing>
                <wp:inline distT="0" distB="0" distL="0" distR="0">
                  <wp:extent cx="3304371" cy="1080000"/>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F_male_pozadi.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304371" cy="1080000"/>
                          </a:xfrm>
                          <a:prstGeom prst="rect">
                            <a:avLst/>
                          </a:prstGeom>
                        </pic:spPr>
                      </pic:pic>
                    </a:graphicData>
                  </a:graphic>
                </wp:inline>
              </w:drawing>
            </w:r>
          </w:p>
        </w:tc>
        <w:tc>
          <w:tcPr>
            <w:tcW w:w="5215" w:type="dxa"/>
            <w:tcBorders>
              <w:top w:val="nil"/>
              <w:left w:val="nil"/>
              <w:bottom w:val="nil"/>
              <w:right w:val="nil"/>
            </w:tcBorders>
            <w:shd w:val="clear" w:color="auto" w:fill="009DEA"/>
          </w:tcPr>
          <w:p w:rsidR="00375323" w:rsidP="007E4430">
            <w:pPr>
              <w:spacing w:line="276" w:lineRule="auto"/>
              <w:jc w:val="right"/>
            </w:pPr>
          </w:p>
        </w:tc>
      </w:tr>
      <w:tr w:rsidTr="00883FB4">
        <w:tblPrEx>
          <w:tblW w:w="0" w:type="auto"/>
          <w:tblCellMar>
            <w:left w:w="0" w:type="dxa"/>
            <w:right w:w="0" w:type="dxa"/>
          </w:tblCellMar>
          <w:tblLook w:val="04A0"/>
        </w:tblPrEx>
        <w:trPr>
          <w:trHeight w:hRule="exact" w:val="4253"/>
        </w:trPr>
        <w:tc>
          <w:tcPr>
            <w:tcW w:w="10466" w:type="dxa"/>
            <w:gridSpan w:val="2"/>
            <w:tcBorders>
              <w:top w:val="nil"/>
              <w:left w:val="nil"/>
              <w:bottom w:val="nil"/>
              <w:right w:val="nil"/>
            </w:tcBorders>
            <w:shd w:val="clear" w:color="auto" w:fill="auto"/>
            <w:vAlign w:val="center"/>
          </w:tcPr>
          <w:p w:rsidR="00AC15CE" w:rsidRPr="002C7B70" w:rsidP="007E4430">
            <w:pPr>
              <w:spacing w:line="276" w:lineRule="auto"/>
            </w:pPr>
          </w:p>
        </w:tc>
      </w:tr>
      <w:tr w:rsidTr="00883FB4">
        <w:tblPrEx>
          <w:tblW w:w="0" w:type="auto"/>
          <w:tblCellMar>
            <w:left w:w="0" w:type="dxa"/>
            <w:right w:w="0" w:type="dxa"/>
          </w:tblCellMar>
          <w:tblLook w:val="04A0"/>
        </w:tblPrEx>
        <w:trPr>
          <w:trHeight w:hRule="exact" w:val="2268"/>
        </w:trPr>
        <w:tc>
          <w:tcPr>
            <w:tcW w:w="10466" w:type="dxa"/>
            <w:gridSpan w:val="2"/>
            <w:tcBorders>
              <w:top w:val="nil"/>
              <w:left w:val="nil"/>
              <w:bottom w:val="nil"/>
              <w:right w:val="nil"/>
            </w:tcBorders>
            <w:shd w:val="clear" w:color="auto" w:fill="auto"/>
            <w:vAlign w:val="center"/>
          </w:tcPr>
          <w:p w:rsidR="00AC15CE" w:rsidRPr="00AC15CE" w:rsidP="007E4430">
            <w:pPr>
              <w:spacing w:after="0" w:line="276" w:lineRule="auto"/>
              <w:jc w:val="center"/>
              <w:rPr>
                <w:b/>
                <w:sz w:val="72"/>
              </w:rPr>
            </w:pPr>
            <w:r>
              <w:rPr>
                <w:b/>
                <w:sz w:val="72"/>
              </w:rPr>
              <w:t>KONZULTACE</w:t>
            </w:r>
          </w:p>
        </w:tc>
      </w:tr>
      <w:tr w:rsidTr="005D1255">
        <w:tblPrEx>
          <w:tblW w:w="0" w:type="auto"/>
          <w:tblCellMar>
            <w:left w:w="0" w:type="dxa"/>
            <w:right w:w="0" w:type="dxa"/>
          </w:tblCellMar>
          <w:tblLook w:val="04A0"/>
        </w:tblPrEx>
        <w:trPr>
          <w:trHeight w:hRule="exact" w:val="1318"/>
        </w:trPr>
        <w:tc>
          <w:tcPr>
            <w:tcW w:w="10466" w:type="dxa"/>
            <w:gridSpan w:val="2"/>
            <w:tcBorders>
              <w:top w:val="nil"/>
              <w:left w:val="nil"/>
              <w:bottom w:val="nil"/>
              <w:right w:val="nil"/>
            </w:tcBorders>
            <w:shd w:val="clear" w:color="auto" w:fill="auto"/>
            <w:vAlign w:val="center"/>
          </w:tcPr>
          <w:p w:rsidR="00AC15CE" w:rsidRPr="00C00F93" w:rsidP="007E4430">
            <w:pPr>
              <w:spacing w:after="0" w:line="276" w:lineRule="auto"/>
              <w:jc w:val="center"/>
              <w:rPr>
                <w:b/>
                <w:sz w:val="36"/>
              </w:rPr>
            </w:pPr>
            <w:r w:rsidRPr="00C00F93">
              <w:rPr>
                <w:b/>
                <w:sz w:val="36"/>
              </w:rPr>
              <w:t>SMĚRNICE O SPRÁVCÍCH</w:t>
            </w:r>
            <w:r w:rsidR="00AA577B">
              <w:rPr>
                <w:b/>
                <w:sz w:val="36"/>
              </w:rPr>
              <w:t xml:space="preserve"> ÚVĚR</w:t>
            </w:r>
            <w:r w:rsidR="002B5325">
              <w:rPr>
                <w:b/>
                <w:sz w:val="36"/>
              </w:rPr>
              <w:t>U</w:t>
            </w:r>
            <w:r w:rsidRPr="00C00F93">
              <w:rPr>
                <w:b/>
                <w:sz w:val="36"/>
              </w:rPr>
              <w:t xml:space="preserve"> A OBCHODNÍCÍCH S</w:t>
            </w:r>
            <w:r w:rsidR="007C57A7">
              <w:rPr>
                <w:b/>
                <w:sz w:val="36"/>
              </w:rPr>
              <w:t xml:space="preserve"> </w:t>
            </w:r>
            <w:r w:rsidRPr="00C00F93">
              <w:rPr>
                <w:b/>
                <w:sz w:val="36"/>
              </w:rPr>
              <w:t>ÚVĚRY</w:t>
            </w:r>
          </w:p>
          <w:p w:rsidR="00244ACA" w:rsidRPr="005D1255" w:rsidP="00C00F93">
            <w:pPr>
              <w:spacing w:after="0" w:line="276" w:lineRule="auto"/>
              <w:jc w:val="center"/>
              <w:rPr>
                <w:sz w:val="32"/>
                <w:szCs w:val="32"/>
              </w:rPr>
            </w:pPr>
            <w:r w:rsidRPr="005D1255">
              <w:rPr>
                <w:b/>
                <w:sz w:val="32"/>
                <w:szCs w:val="32"/>
              </w:rPr>
              <w:t>(</w:t>
            </w:r>
            <w:r w:rsidR="00C00F93">
              <w:rPr>
                <w:b/>
                <w:sz w:val="32"/>
                <w:szCs w:val="32"/>
              </w:rPr>
              <w:t>Směrnice NPL</w:t>
            </w:r>
            <w:r w:rsidRPr="005D1255">
              <w:rPr>
                <w:b/>
                <w:sz w:val="32"/>
                <w:szCs w:val="32"/>
              </w:rPr>
              <w:t>)</w:t>
            </w:r>
          </w:p>
        </w:tc>
      </w:tr>
      <w:tr w:rsidTr="005D1255">
        <w:tblPrEx>
          <w:tblW w:w="0" w:type="auto"/>
          <w:tblCellMar>
            <w:left w:w="0" w:type="dxa"/>
            <w:right w:w="0" w:type="dxa"/>
          </w:tblCellMar>
          <w:tblLook w:val="04A0"/>
        </w:tblPrEx>
        <w:trPr>
          <w:trHeight w:hRule="exact" w:val="3702"/>
        </w:trPr>
        <w:tc>
          <w:tcPr>
            <w:tcW w:w="10466" w:type="dxa"/>
            <w:gridSpan w:val="2"/>
            <w:tcBorders>
              <w:top w:val="nil"/>
              <w:left w:val="nil"/>
              <w:bottom w:val="nil"/>
              <w:right w:val="nil"/>
            </w:tcBorders>
            <w:shd w:val="clear" w:color="auto" w:fill="auto"/>
            <w:vAlign w:val="center"/>
          </w:tcPr>
          <w:p w:rsidR="00244ACA" w:rsidP="00C00F93">
            <w:pPr>
              <w:spacing w:after="0" w:line="276" w:lineRule="auto"/>
              <w:rPr>
                <w:b/>
                <w:sz w:val="40"/>
              </w:rPr>
            </w:pPr>
            <w:bookmarkStart w:id="0" w:name="_GoBack"/>
            <w:bookmarkEnd w:id="0"/>
          </w:p>
        </w:tc>
      </w:tr>
      <w:tr w:rsidTr="00D4469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tblPrEx>
        <w:trPr>
          <w:trHeight w:hRule="exact" w:val="1472"/>
        </w:trPr>
        <w:tc>
          <w:tcPr>
            <w:tcW w:w="5251" w:type="dxa"/>
            <w:shd w:val="clear" w:color="auto" w:fill="009DEA"/>
            <w:vAlign w:val="bottom"/>
          </w:tcPr>
          <w:p w:rsidR="00883FB4" w:rsidRPr="004C16F3" w:rsidP="007E4430">
            <w:pPr>
              <w:pStyle w:val="NoSpacing"/>
              <w:spacing w:line="276" w:lineRule="auto"/>
              <w:ind w:left="113"/>
              <w:jc w:val="left"/>
              <w:rPr>
                <w:color w:val="FFFFFF" w:themeColor="background1"/>
              </w:rPr>
            </w:pPr>
            <w:r w:rsidRPr="004C16F3">
              <w:rPr>
                <w:color w:val="FFFFFF" w:themeColor="background1"/>
              </w:rPr>
              <w:t>oddělení Platební služby a tržní infrastruktura</w:t>
            </w:r>
          </w:p>
          <w:p w:rsidR="00883FB4" w:rsidRPr="004C16F3" w:rsidP="007E4430">
            <w:pPr>
              <w:pStyle w:val="NoSpacing"/>
              <w:spacing w:line="276" w:lineRule="auto"/>
              <w:ind w:left="113"/>
              <w:jc w:val="left"/>
              <w:rPr>
                <w:color w:val="FFFFFF" w:themeColor="background1"/>
              </w:rPr>
            </w:pPr>
            <w:r w:rsidRPr="004C16F3">
              <w:rPr>
                <w:color w:val="FFFFFF" w:themeColor="background1"/>
              </w:rPr>
              <w:t>odbor Finanční trhy II</w:t>
            </w:r>
          </w:p>
          <w:p w:rsidR="00883FB4" w:rsidRPr="004C16F3" w:rsidP="007E4430">
            <w:pPr>
              <w:pStyle w:val="NoSpacing"/>
              <w:spacing w:line="276" w:lineRule="auto"/>
              <w:ind w:left="113"/>
              <w:jc w:val="left"/>
              <w:rPr>
                <w:color w:val="FFFFFF" w:themeColor="background1"/>
              </w:rPr>
            </w:pPr>
            <w:r w:rsidRPr="004C16F3">
              <w:rPr>
                <w:color w:val="FFFFFF" w:themeColor="background1"/>
              </w:rPr>
              <w:t>sekce Mezinárodní vztahy</w:t>
            </w:r>
            <w:r w:rsidR="00846DE1">
              <w:rPr>
                <w:color w:val="FFFFFF" w:themeColor="background1"/>
              </w:rPr>
              <w:t xml:space="preserve"> a finanční trhy</w:t>
            </w:r>
          </w:p>
          <w:p w:rsidR="00883FB4" w:rsidP="007E4430">
            <w:pPr>
              <w:pStyle w:val="NoSpacing"/>
              <w:spacing w:line="276" w:lineRule="auto"/>
              <w:ind w:left="113"/>
              <w:jc w:val="left"/>
            </w:pPr>
            <w:r w:rsidRPr="004C16F3">
              <w:rPr>
                <w:color w:val="FFFFFF" w:themeColor="background1"/>
              </w:rPr>
              <w:t>e-mail: platebni.sluzby@mfcr.cz</w:t>
            </w:r>
          </w:p>
        </w:tc>
        <w:tc>
          <w:tcPr>
            <w:tcW w:w="5215" w:type="dxa"/>
            <w:shd w:val="clear" w:color="auto" w:fill="009DEA"/>
            <w:vAlign w:val="bottom"/>
          </w:tcPr>
          <w:p w:rsidR="00883FB4" w:rsidRPr="002C7B70" w:rsidP="007E4430">
            <w:pPr>
              <w:pStyle w:val="NoSpacing"/>
              <w:spacing w:line="276" w:lineRule="auto"/>
              <w:ind w:right="113"/>
              <w:jc w:val="right"/>
            </w:pPr>
            <w:r>
              <w:rPr>
                <w:color w:val="FFFFFF" w:themeColor="background1"/>
              </w:rPr>
              <w:t>0</w:t>
            </w:r>
            <w:r w:rsidR="006A1ED1">
              <w:rPr>
                <w:color w:val="FFFFFF" w:themeColor="background1"/>
              </w:rPr>
              <w:t>2</w:t>
            </w:r>
            <w:r w:rsidR="008274BA">
              <w:rPr>
                <w:color w:val="FFFFFF" w:themeColor="background1"/>
              </w:rPr>
              <w:t xml:space="preserve">. </w:t>
            </w:r>
            <w:r>
              <w:rPr>
                <w:color w:val="FFFFFF" w:themeColor="background1"/>
              </w:rPr>
              <w:t>1</w:t>
            </w:r>
            <w:r w:rsidR="006A1ED1">
              <w:rPr>
                <w:color w:val="FFFFFF" w:themeColor="background1"/>
              </w:rPr>
              <w:t>2</w:t>
            </w:r>
            <w:r w:rsidR="008274BA">
              <w:rPr>
                <w:color w:val="FFFFFF" w:themeColor="background1"/>
              </w:rPr>
              <w:t>. 2021</w:t>
            </w:r>
          </w:p>
        </w:tc>
      </w:tr>
    </w:tbl>
    <w:p w:rsidR="007003D0" w:rsidP="007E4430">
      <w:pPr>
        <w:sectPr w:rsidSect="00375323">
          <w:footerReference w:type="first" r:id="rId7"/>
          <w:pgSz w:w="11906" w:h="16838"/>
          <w:pgMar w:top="720" w:right="720" w:bottom="720" w:left="720" w:header="708" w:footer="708" w:gutter="0"/>
          <w:cols w:space="708"/>
          <w:docGrid w:linePitch="360"/>
        </w:sectPr>
      </w:pPr>
    </w:p>
    <w:p w:rsidR="00475DE0" w:rsidP="007E4430">
      <w:pPr>
        <w:pStyle w:val="Heading1"/>
        <w:spacing w:line="276" w:lineRule="auto"/>
      </w:pPr>
      <w:bookmarkStart w:id="1" w:name="_Toc6405030"/>
      <w:r>
        <w:t>Úvod</w:t>
      </w:r>
      <w:bookmarkEnd w:id="1"/>
    </w:p>
    <w:p w:rsidR="002822DF" w:rsidP="005F29C5">
      <w:pPr>
        <w:spacing w:after="0"/>
      </w:pPr>
      <w:r>
        <w:t xml:space="preserve">Ministerstvo financí připravilo konzultaci k tématu </w:t>
      </w:r>
      <w:r w:rsidR="008274BA">
        <w:t xml:space="preserve">transpozice směrnice o správcích </w:t>
      </w:r>
      <w:r w:rsidR="002B5325">
        <w:t xml:space="preserve">úvěru </w:t>
      </w:r>
      <w:r w:rsidR="008274BA">
        <w:t>a obchodnících s</w:t>
      </w:r>
      <w:r w:rsidR="00043774">
        <w:t> </w:t>
      </w:r>
      <w:r w:rsidR="008274BA">
        <w:t>úvěry</w:t>
      </w:r>
      <w:r w:rsidR="00043774">
        <w:t xml:space="preserve"> </w:t>
      </w:r>
      <w:r w:rsidR="008D3FD7">
        <w:t>(</w:t>
      </w:r>
      <w:r w:rsidR="008D3FD7">
        <w:rPr>
          <w:rStyle w:val="epname"/>
        </w:rPr>
        <w:t>Directive on Credit s</w:t>
      </w:r>
      <w:r>
        <w:rPr>
          <w:rStyle w:val="epname"/>
        </w:rPr>
        <w:t xml:space="preserve">ervicers and credit purchasers - </w:t>
      </w:r>
      <w:r w:rsidR="008D3FD7">
        <w:rPr>
          <w:rStyle w:val="epname"/>
        </w:rPr>
        <w:t>Non-perf</w:t>
      </w:r>
      <w:r>
        <w:rPr>
          <w:rStyle w:val="epname"/>
        </w:rPr>
        <w:t>orming loans Directive</w:t>
      </w:r>
      <w:r w:rsidR="008D3FD7">
        <w:rPr>
          <w:rStyle w:val="epname"/>
        </w:rPr>
        <w:t xml:space="preserve"> </w:t>
      </w:r>
      <w:r w:rsidR="008D3FD7">
        <w:t>(</w:t>
      </w:r>
      <w:r w:rsidR="008D3FD7">
        <w:rPr>
          <w:rStyle w:val="epname"/>
        </w:rPr>
        <w:t>2018/0063A(COD)</w:t>
      </w:r>
      <w:r>
        <w:rPr>
          <w:rStyle w:val="epname"/>
        </w:rPr>
        <w:t>,</w:t>
      </w:r>
      <w:r w:rsidR="008D3FD7">
        <w:rPr>
          <w:rStyle w:val="epname"/>
        </w:rPr>
        <w:t xml:space="preserve"> dále jen</w:t>
      </w:r>
      <w:r w:rsidR="008D3FD7">
        <w:t xml:space="preserve"> „směrnice </w:t>
      </w:r>
      <w:r w:rsidR="00043774">
        <w:t>NPL</w:t>
      </w:r>
      <w:r w:rsidR="008D3FD7">
        <w:t>“</w:t>
      </w:r>
      <w:r w:rsidR="00043774">
        <w:t>)</w:t>
      </w:r>
      <w:r>
        <w:t xml:space="preserve">. </w:t>
      </w:r>
      <w:r w:rsidR="00043774">
        <w:t xml:space="preserve">S ohledem </w:t>
      </w:r>
      <w:r w:rsidR="00147D3C">
        <w:t xml:space="preserve">na dosažení politické dohody na kompromisním textu </w:t>
      </w:r>
      <w:r w:rsidR="00AE47E9">
        <w:t>Evropské</w:t>
      </w:r>
      <w:r w:rsidR="00147D3C">
        <w:t>ho</w:t>
      </w:r>
      <w:r w:rsidR="00AE47E9">
        <w:t xml:space="preserve"> parlamentu</w:t>
      </w:r>
      <w:r w:rsidR="00147D3C">
        <w:t>,</w:t>
      </w:r>
      <w:r w:rsidR="00AE47E9">
        <w:t xml:space="preserve"> Rad</w:t>
      </w:r>
      <w:r w:rsidR="00CB05E2">
        <w:t>y</w:t>
      </w:r>
      <w:r w:rsidR="00AE47E9">
        <w:t xml:space="preserve"> EU</w:t>
      </w:r>
      <w:r w:rsidR="00043774">
        <w:t xml:space="preserve"> </w:t>
      </w:r>
      <w:r w:rsidR="00147D3C">
        <w:t>a Komise</w:t>
      </w:r>
      <w:r>
        <w:t>,</w:t>
      </w:r>
      <w:r w:rsidR="00147D3C">
        <w:t xml:space="preserve"> </w:t>
      </w:r>
      <w:r w:rsidR="00043774">
        <w:t xml:space="preserve">je na místě připravit se na transpozici právního předpisu do českého právního řádu. Záměrem Ministerstva financí je </w:t>
      </w:r>
      <w:r w:rsidR="00CB05E2">
        <w:t xml:space="preserve">provést </w:t>
      </w:r>
      <w:r w:rsidR="00043774">
        <w:t>transpozici směrnice</w:t>
      </w:r>
      <w:r w:rsidR="00147D3C">
        <w:t xml:space="preserve"> pravděpodobně</w:t>
      </w:r>
      <w:r w:rsidR="00043774">
        <w:t xml:space="preserve"> formou samostatného zákona spolu s novelizací existujících dotčených předpisů. </w:t>
      </w:r>
      <w:r w:rsidR="00AE47E9">
        <w:t>Zvole</w:t>
      </w:r>
      <w:r w:rsidR="00176E2F">
        <w:t>ná forma se jeví s ohledem na specifika právní úpravy pro aplikační praxi jako nejvhodnější.</w:t>
      </w:r>
      <w:r w:rsidR="008D3FD7">
        <w:t xml:space="preserve"> Detailní informace je možno nalézt také na tomto odkazu:</w:t>
      </w:r>
    </w:p>
    <w:p w:rsidR="0041092C" w:rsidP="005F29C5">
      <w:pPr>
        <w:spacing w:after="0"/>
      </w:pPr>
      <w:r>
        <w:t xml:space="preserve"> </w:t>
      </w:r>
      <w:r>
        <w:fldChar w:fldCharType="begin"/>
      </w:r>
      <w:r>
        <w:instrText xml:space="preserve"> HYPERLINK "https://oeil.secure.europarl.europa.eu/oeil/popups/ficheprocedure.do?reference=2018/0063A(COD)&amp;l=en" </w:instrText>
      </w:r>
      <w:r>
        <w:fldChar w:fldCharType="separate"/>
      </w:r>
      <w:r w:rsidRPr="00FB05FA">
        <w:rPr>
          <w:rStyle w:val="Hyperlink"/>
        </w:rPr>
        <w:t>https://oeil.secure.europarl.europa.eu/oeil/popups/ficheprocedure.do?reference=2018/0063A(COD)&amp;l=en</w:t>
      </w:r>
      <w:r>
        <w:fldChar w:fldCharType="end"/>
      </w:r>
      <w:r>
        <w:t xml:space="preserve">. </w:t>
      </w:r>
    </w:p>
    <w:p w:rsidR="00726075" w:rsidP="005F29C5">
      <w:pPr>
        <w:spacing w:after="0"/>
        <w:jc w:val="left"/>
      </w:pPr>
    </w:p>
    <w:p w:rsidR="008D3FD7" w:rsidP="006D7A10">
      <w:pPr>
        <w:spacing w:after="0"/>
      </w:pPr>
      <w:r>
        <w:t>P</w:t>
      </w:r>
      <w:r w:rsidR="002B5325">
        <w:t xml:space="preserve">řílohou této konzultace je i </w:t>
      </w:r>
      <w:r w:rsidR="006D7A10">
        <w:t xml:space="preserve">pracovní </w:t>
      </w:r>
      <w:r w:rsidR="002B5325">
        <w:t xml:space="preserve">český překlad směrnice, </w:t>
      </w:r>
      <w:r w:rsidR="006D7A10">
        <w:t xml:space="preserve">jehož verze </w:t>
      </w:r>
      <w:r w:rsidR="002B5325">
        <w:t>je v současné době schvalován</w:t>
      </w:r>
      <w:r w:rsidR="006D7A10">
        <w:t>a</w:t>
      </w:r>
      <w:r w:rsidR="002B5325">
        <w:t xml:space="preserve"> Evropským parlamentem a Radou. Text tedy není ještě práv</w:t>
      </w:r>
      <w:r w:rsidR="00555BB8">
        <w:t>n</w:t>
      </w:r>
      <w:r w:rsidR="002B5325">
        <w:t xml:space="preserve">ě závazný, tedy publikovaný v Úředním věstníku, ale také je možno konstatovat, že se již </w:t>
      </w:r>
      <w:r w:rsidR="006D7A10">
        <w:t xml:space="preserve">snad </w:t>
      </w:r>
      <w:r w:rsidR="002B5325">
        <w:t xml:space="preserve">nebude </w:t>
      </w:r>
      <w:r w:rsidR="006D7A10">
        <w:t xml:space="preserve">podstatně </w:t>
      </w:r>
      <w:r w:rsidR="002B5325">
        <w:t>měnit.</w:t>
      </w:r>
    </w:p>
    <w:p w:rsidR="002B5325" w:rsidP="005F29C5">
      <w:pPr>
        <w:spacing w:after="0"/>
        <w:jc w:val="left"/>
      </w:pPr>
    </w:p>
    <w:p w:rsidR="00176E2F" w:rsidP="007E4430">
      <w:r>
        <w:t xml:space="preserve">Cílem konzultace je získat názor odborné </w:t>
      </w:r>
      <w:r w:rsidR="006E35C1">
        <w:t xml:space="preserve">veřejnosti na transpozici </w:t>
      </w:r>
      <w:r w:rsidR="008D3FD7">
        <w:t> směrnice NPL</w:t>
      </w:r>
      <w:r w:rsidR="006E35C1">
        <w:t xml:space="preserve"> </w:t>
      </w:r>
      <w:r w:rsidR="00CB05E2">
        <w:t xml:space="preserve">připravovanou </w:t>
      </w:r>
      <w:r w:rsidR="00FF1CA8">
        <w:t>M</w:t>
      </w:r>
      <w:r w:rsidR="00B80744">
        <w:t xml:space="preserve">inisterstvem financí </w:t>
      </w:r>
      <w:r w:rsidR="008D3FD7">
        <w:t xml:space="preserve">a získat názor na oblasti, které jsou nadále v rozhodovací </w:t>
      </w:r>
      <w:r w:rsidR="002822DF">
        <w:t>pravomoci čl</w:t>
      </w:r>
      <w:r w:rsidR="00555BB8">
        <w:t>enských</w:t>
      </w:r>
      <w:r w:rsidR="002822DF">
        <w:t xml:space="preserve"> států, </w:t>
      </w:r>
      <w:r w:rsidR="008D3FD7">
        <w:t>a to diskrecí.</w:t>
      </w:r>
    </w:p>
    <w:p w:rsidR="00C0641C" w:rsidP="007E4430">
      <w:r>
        <w:t>MF publikuje tuto konzultaci ještě před zveřejněním finálního textu směrnice NPL v </w:t>
      </w:r>
      <w:r w:rsidR="00CB05E2">
        <w:t xml:space="preserve">Úředním </w:t>
      </w:r>
      <w:r>
        <w:t>věstníku z důvodu urychlení přípravy navrhovaného transpozičního zákona.</w:t>
      </w:r>
    </w:p>
    <w:p w:rsidR="005E0EFB" w:rsidRPr="007A6195" w:rsidP="007E4430">
      <w:r w:rsidRPr="007A6195">
        <w:rPr>
          <w:rFonts w:cs="Times New Roman"/>
          <w:szCs w:val="24"/>
        </w:rPr>
        <w:t>Dovolujeme si Vás požádat o</w:t>
      </w:r>
      <w:r w:rsidRPr="007A6195">
        <w:rPr>
          <w:rFonts w:cs="Times New Roman"/>
          <w:b/>
          <w:szCs w:val="24"/>
        </w:rPr>
        <w:t xml:space="preserve"> zaslání Vašich odpovědí</w:t>
      </w:r>
      <w:r w:rsidRPr="007A6195">
        <w:rPr>
          <w:rFonts w:cs="Times New Roman"/>
          <w:szCs w:val="24"/>
        </w:rPr>
        <w:t xml:space="preserve"> na položené konzultační otázky a případných dalších připomínek či podnětů, a to na adresu </w:t>
      </w:r>
      <w:r w:rsidRPr="007A6195">
        <w:rPr>
          <w:rFonts w:cs="Times New Roman"/>
          <w:b/>
          <w:szCs w:val="24"/>
        </w:rPr>
        <w:t>platebni.sluzby@mfcr.cz</w:t>
      </w:r>
      <w:r w:rsidRPr="007A6195">
        <w:rPr>
          <w:rFonts w:cs="Times New Roman"/>
          <w:szCs w:val="24"/>
        </w:rPr>
        <w:t xml:space="preserve"> </w:t>
      </w:r>
      <w:r w:rsidRPr="00B80744" w:rsidR="0039672C">
        <w:rPr>
          <w:rFonts w:cs="Times New Roman"/>
          <w:b/>
          <w:szCs w:val="24"/>
        </w:rPr>
        <w:t>do </w:t>
      </w:r>
      <w:r w:rsidRPr="00F65649" w:rsidR="00B80744">
        <w:rPr>
          <w:rFonts w:cs="Times New Roman"/>
          <w:b/>
          <w:szCs w:val="24"/>
        </w:rPr>
        <w:t>24</w:t>
      </w:r>
      <w:r w:rsidRPr="00F65649">
        <w:rPr>
          <w:rFonts w:cs="Times New Roman"/>
          <w:b/>
          <w:szCs w:val="24"/>
        </w:rPr>
        <w:t xml:space="preserve">. </w:t>
      </w:r>
      <w:r w:rsidRPr="00F65649" w:rsidR="006D7A10">
        <w:rPr>
          <w:rFonts w:cs="Times New Roman"/>
          <w:b/>
          <w:szCs w:val="24"/>
        </w:rPr>
        <w:t>1</w:t>
      </w:r>
      <w:r w:rsidRPr="00F65649" w:rsidR="00043774">
        <w:rPr>
          <w:rFonts w:cs="Times New Roman"/>
          <w:b/>
          <w:szCs w:val="24"/>
        </w:rPr>
        <w:t>.</w:t>
      </w:r>
      <w:r w:rsidRPr="00F65649" w:rsidR="0041092C">
        <w:rPr>
          <w:rFonts w:cs="Times New Roman"/>
          <w:b/>
          <w:szCs w:val="24"/>
        </w:rPr>
        <w:t xml:space="preserve"> 202</w:t>
      </w:r>
      <w:r w:rsidRPr="00F65649" w:rsidR="00B80744">
        <w:rPr>
          <w:rFonts w:cs="Times New Roman"/>
          <w:b/>
          <w:szCs w:val="24"/>
        </w:rPr>
        <w:t>2</w:t>
      </w:r>
      <w:r w:rsidRPr="00B80744">
        <w:rPr>
          <w:rFonts w:cs="Times New Roman"/>
          <w:b/>
          <w:szCs w:val="24"/>
        </w:rPr>
        <w:t>.</w:t>
      </w:r>
      <w:r w:rsidRPr="007A6195">
        <w:rPr>
          <w:rFonts w:cs="Times New Roman"/>
          <w:b/>
          <w:szCs w:val="24"/>
        </w:rPr>
        <w:t xml:space="preserve"> Výsledky konzultace budou použity při přípravě </w:t>
      </w:r>
      <w:r w:rsidR="007A6195">
        <w:rPr>
          <w:rFonts w:cs="Times New Roman"/>
          <w:b/>
          <w:szCs w:val="24"/>
        </w:rPr>
        <w:t xml:space="preserve">transpozičního </w:t>
      </w:r>
      <w:r w:rsidRPr="007A6195">
        <w:rPr>
          <w:rFonts w:cs="Times New Roman"/>
          <w:b/>
          <w:szCs w:val="24"/>
        </w:rPr>
        <w:t xml:space="preserve">zákona. </w:t>
      </w:r>
      <w:r w:rsidR="00555BB8">
        <w:rPr>
          <w:rFonts w:cs="Times New Roman"/>
          <w:b/>
          <w:szCs w:val="24"/>
        </w:rPr>
        <w:t>K</w:t>
      </w:r>
      <w:r w:rsidRPr="007A6195">
        <w:rPr>
          <w:rFonts w:cs="Times New Roman"/>
          <w:b/>
          <w:szCs w:val="24"/>
        </w:rPr>
        <w:t>onzultace rovněž slouží jako podklad pro studii dopadů chyst</w:t>
      </w:r>
      <w:r w:rsidR="00AE47E9">
        <w:rPr>
          <w:rFonts w:cs="Times New Roman"/>
          <w:b/>
          <w:szCs w:val="24"/>
        </w:rPr>
        <w:t xml:space="preserve">aného </w:t>
      </w:r>
      <w:r w:rsidRPr="007A6195">
        <w:rPr>
          <w:rFonts w:cs="Times New Roman"/>
          <w:b/>
          <w:szCs w:val="24"/>
        </w:rPr>
        <w:t xml:space="preserve">zákona. </w:t>
      </w:r>
    </w:p>
    <w:p w:rsidR="00A8119C" w:rsidP="00A8119C">
      <w:pPr>
        <w:rPr>
          <w:i/>
        </w:rPr>
      </w:pPr>
    </w:p>
    <w:p w:rsidR="005F29C5" w:rsidP="00A8119C">
      <w:pPr>
        <w:rPr>
          <w:i/>
        </w:rPr>
      </w:pPr>
      <w:r>
        <w:rPr>
          <w:i/>
        </w:rPr>
        <w:t>Tento materiál slouží pouze pro potřeby Ministerstva financí a veřejnou diskusi k danému tématu. Právní názory či věcné závěry a doporučení obsažené v materiálu nemají žádnou formální váhu. Ministerstvo financí není oprávněno závazně vykládat právní předpisy. Závěry, které zaujmou soudy či jiné orgány závazně aplikující právo na konkrétní případ, se mohou od závěrů uvedených v materiálu lišit.</w:t>
      </w:r>
    </w:p>
    <w:p w:rsidR="00A8119C" w:rsidP="00A8119C">
      <w:pPr>
        <w:rPr>
          <w:i/>
        </w:rPr>
      </w:pPr>
    </w:p>
    <w:tbl>
      <w:tblPr>
        <w:tblStyle w:val="TableGrid"/>
        <w:tblW w:w="0" w:type="auto"/>
        <w:tblLook w:val="04A0"/>
      </w:tblPr>
      <w:tblGrid>
        <w:gridCol w:w="9213"/>
      </w:tblGrid>
      <w:tr w:rsidTr="00B538E8">
        <w:tblPrEx>
          <w:tblW w:w="0" w:type="auto"/>
          <w:tblLook w:val="04A0"/>
        </w:tblPrEx>
        <w:trPr>
          <w:trHeight w:val="256"/>
        </w:trPr>
        <w:tc>
          <w:tcPr>
            <w:tcW w:w="9213" w:type="dxa"/>
            <w:shd w:val="clear" w:color="auto" w:fill="D9D9D9" w:themeFill="background1" w:themeFillShade="D9"/>
          </w:tcPr>
          <w:p w:rsidR="005F29C5" w:rsidRPr="00F44A28" w:rsidP="005F29C5">
            <w:pPr>
              <w:spacing w:before="120"/>
            </w:pPr>
            <w:r>
              <w:t>Typ subjektu</w:t>
            </w:r>
          </w:p>
        </w:tc>
      </w:tr>
      <w:tr w:rsidTr="00B538E8">
        <w:tblPrEx>
          <w:tblW w:w="0" w:type="auto"/>
          <w:tblLook w:val="04A0"/>
        </w:tblPrEx>
        <w:tc>
          <w:tcPr>
            <w:tcW w:w="9213" w:type="dxa"/>
            <w:shd w:val="clear" w:color="auto" w:fill="FFFFFF" w:themeFill="background1"/>
          </w:tcPr>
          <w:p w:rsidR="005F29C5" w:rsidRPr="00F44A28" w:rsidP="00944A6C">
            <w:pPr>
              <w:spacing w:before="120" w:line="276" w:lineRule="auto"/>
            </w:pPr>
            <w:r w:rsidRPr="00F44A28">
              <w:t>Odpověď:</w:t>
            </w:r>
            <w:r w:rsidR="003D55A8">
              <w:t xml:space="preserve"> </w:t>
            </w:r>
            <w:sdt>
              <w:sdtPr>
                <w:alias w:val="Typ subjektu"/>
                <w:tag w:val="Typ subjektu"/>
                <w:id w:val="-467358388"/>
                <w:placeholder>
                  <w:docPart w:val="DefaultPlaceholder_1082065159"/>
                </w:placeholder>
                <w:showingPlcHdr/>
                <w:dropDownList>
                  <w:listItem w:value="Zvolte položku."/>
                  <w:listItem w:value="Banka" w:displayText="Banka"/>
                  <w:listItem w:value="Spořitelní a úvěrní družstvo" w:displayText="Spořitelní a úvěrní družstvo"/>
                  <w:listItem w:value="Nebankovní poskytovatel spotřebitelského úvěru" w:displayText="Nebankovní poskytovatel spotřebitelského úvěru"/>
                  <w:listItem w:value="Jiná regulována finanční instituce" w:displayText="Jiná regulována finanční instituce"/>
                  <w:listItem w:value="Inkasní agentura" w:displayText="Inkasní agentura"/>
                  <w:listItem w:value="Advokátní kancelář" w:displayText="Advokátní kancelář"/>
                  <w:listItem w:value="Fyzická osoba" w:displayText="Fyzická osoba"/>
                  <w:listItem w:value="Jiná, výše neuvedená instituce" w:displayText="Jiná, výše neuvedená instituce"/>
                </w:dropDownList>
              </w:sdtPr>
              <w:sdtContent>
                <w:r w:rsidRPr="00BB3C4E" w:rsidR="00944A6C">
                  <w:rPr>
                    <w:rStyle w:val="PlaceholderText"/>
                  </w:rPr>
                  <w:t>Zvolte položku.</w:t>
                </w:r>
              </w:sdtContent>
            </w:sdt>
          </w:p>
        </w:tc>
      </w:tr>
    </w:tbl>
    <w:p w:rsidR="00A8119C" w:rsidP="007E4430">
      <w:pPr>
        <w:rPr>
          <w:i/>
        </w:rPr>
      </w:pPr>
    </w:p>
    <w:p w:rsidR="00704B94" w:rsidP="005F29C5">
      <w:pPr>
        <w:pStyle w:val="Heading1"/>
        <w:spacing w:line="276" w:lineRule="auto"/>
      </w:pPr>
      <w:bookmarkStart w:id="2" w:name="_Toc6405031"/>
      <w:r>
        <w:t>Směrnice</w:t>
      </w:r>
      <w:r w:rsidRPr="00FA13F9" w:rsidR="003274D5">
        <w:t xml:space="preserve"> </w:t>
      </w:r>
      <w:bookmarkEnd w:id="2"/>
      <w:r w:rsidRPr="00FA13F9" w:rsidR="00FA13F9">
        <w:t xml:space="preserve">o správcích </w:t>
      </w:r>
      <w:r w:rsidR="00134AC8">
        <w:t>úvěr</w:t>
      </w:r>
      <w:r w:rsidR="002B5325">
        <w:t>u</w:t>
      </w:r>
      <w:r w:rsidR="00134AC8">
        <w:t xml:space="preserve"> </w:t>
      </w:r>
      <w:r w:rsidRPr="00FA13F9" w:rsidR="00FA13F9">
        <w:t>a obchodnících s úvěry</w:t>
      </w:r>
    </w:p>
    <w:p w:rsidR="00AE2577" w:rsidP="007E4430">
      <w:r>
        <w:t xml:space="preserve">Směrnice </w:t>
      </w:r>
      <w:r w:rsidR="00D96020">
        <w:t>NPL</w:t>
      </w:r>
      <w:r w:rsidR="00AE1500">
        <w:t xml:space="preserve"> </w:t>
      </w:r>
      <w:r w:rsidR="0092493D">
        <w:t xml:space="preserve">má představovat </w:t>
      </w:r>
      <w:r w:rsidR="00B50765">
        <w:t xml:space="preserve">další z kroků </w:t>
      </w:r>
      <w:r w:rsidR="00AE47E9">
        <w:t>k</w:t>
      </w:r>
      <w:r w:rsidR="00B50765">
        <w:t xml:space="preserve"> posílení evropské hospodářské a měnové unie</w:t>
      </w:r>
      <w:r w:rsidR="000569A2">
        <w:t>. Směrnice je součástí opatření na řešení t</w:t>
      </w:r>
      <w:r w:rsidR="00B50765">
        <w:t>zv. úvěr</w:t>
      </w:r>
      <w:r w:rsidR="000569A2">
        <w:t>ů</w:t>
      </w:r>
      <w:r w:rsidR="00B50765">
        <w:t xml:space="preserve"> v selhání</w:t>
      </w:r>
      <w:r>
        <w:rPr>
          <w:rStyle w:val="FootnoteReference"/>
        </w:rPr>
        <w:footnoteReference w:id="2"/>
      </w:r>
      <w:r w:rsidR="00B50765">
        <w:t>, tj. takov</w:t>
      </w:r>
      <w:r w:rsidR="00134AC8">
        <w:t>ých</w:t>
      </w:r>
      <w:r w:rsidR="00B50765">
        <w:t xml:space="preserve"> </w:t>
      </w:r>
      <w:r w:rsidR="00134AC8">
        <w:t>úvěrů</w:t>
      </w:r>
      <w:r w:rsidR="00AE1500">
        <w:t xml:space="preserve">, u kterých nejsou </w:t>
      </w:r>
      <w:r w:rsidR="002B5325">
        <w:t xml:space="preserve">dlužníci </w:t>
      </w:r>
      <w:r w:rsidR="00B50765">
        <w:t>schopni splácet platb</w:t>
      </w:r>
      <w:r w:rsidR="00404594">
        <w:t>y na úhradu úroků nebo jistiny</w:t>
      </w:r>
      <w:r w:rsidR="000569A2">
        <w:t xml:space="preserve">. Nárůst těchto úvěrů v bilanci bank </w:t>
      </w:r>
      <w:r w:rsidR="00404594">
        <w:t xml:space="preserve">byl identifikován jako zásadní problém, který vyžaduje řešení. Vysoký objem úvěrů v selhání může mít vliv na výkonnost bank, neboť </w:t>
      </w:r>
      <w:r w:rsidR="00134AC8">
        <w:t xml:space="preserve">tyto </w:t>
      </w:r>
      <w:r w:rsidR="00404594">
        <w:t>jednak generují pro banku nižší příjmy a rovněž na sebe vážou nemalé zdroje banky (lidské, finanční</w:t>
      </w:r>
      <w:r w:rsidR="003C18B4">
        <w:t xml:space="preserve"> aj.</w:t>
      </w:r>
      <w:r w:rsidR="00404594">
        <w:t xml:space="preserve">). Způsobilost bank půjčovat prostředky se tím snižuje, čímž jsou zasaženy </w:t>
      </w:r>
      <w:r w:rsidR="00AE1500">
        <w:t>též malé a střední podniky, kterým se zhoršuje dostupnost úvěrů.</w:t>
      </w:r>
    </w:p>
    <w:p w:rsidR="003D378C" w:rsidP="005D7A93">
      <w:r>
        <w:t>Návrh s</w:t>
      </w:r>
      <w:r w:rsidR="003477C7">
        <w:t>měrnice</w:t>
      </w:r>
      <w:r w:rsidR="00CF44AD">
        <w:t xml:space="preserve"> NPL,</w:t>
      </w:r>
      <w:r w:rsidR="003477C7">
        <w:t xml:space="preserve"> </w:t>
      </w:r>
      <w:r>
        <w:t xml:space="preserve">který </w:t>
      </w:r>
      <w:r w:rsidR="000569A2">
        <w:t>Komise publikovala v roce 2018 jako návrh s</w:t>
      </w:r>
      <w:r w:rsidR="00CF44AD">
        <w:t>měrnic</w:t>
      </w:r>
      <w:r w:rsidR="000569A2">
        <w:t>e</w:t>
      </w:r>
      <w:r w:rsidR="00CF44AD">
        <w:t xml:space="preserve"> Evropského parlamentu a Rady, o obsluhovatelích úvěrů, kupcích úvěrů a vymáhání kolaterálu</w:t>
      </w:r>
      <w:r w:rsidRPr="000569A2" w:rsidR="000569A2">
        <w:t xml:space="preserve"> </w:t>
      </w:r>
      <w:r w:rsidR="000569A2">
        <w:t>(COD2018/0063)</w:t>
      </w:r>
      <w:r w:rsidR="00CF44AD">
        <w:t xml:space="preserve">, </w:t>
      </w:r>
      <w:r w:rsidR="005D7A93">
        <w:t xml:space="preserve">stanovuje podmínky pro subjekty </w:t>
      </w:r>
      <w:r w:rsidR="000569A2">
        <w:t xml:space="preserve">spravující </w:t>
      </w:r>
      <w:r w:rsidR="00502F53">
        <w:t xml:space="preserve">bankovní úvěry </w:t>
      </w:r>
      <w:r w:rsidR="000569A2">
        <w:t xml:space="preserve">a obchodující </w:t>
      </w:r>
      <w:r w:rsidR="005D7A93">
        <w:t xml:space="preserve">na finančním trhu s bankovními úvěry. Úprava má zajistit dostatečnou úroveň ochrany dlužníků při stanovení podmínek pro správce </w:t>
      </w:r>
      <w:r w:rsidR="008E0A3D">
        <w:t xml:space="preserve">úvěru </w:t>
      </w:r>
      <w:r w:rsidR="005D7A93">
        <w:t>a obchodníky s</w:t>
      </w:r>
      <w:r w:rsidR="00502F53">
        <w:t> </w:t>
      </w:r>
      <w:r w:rsidR="005D7A93">
        <w:t>úvěry</w:t>
      </w:r>
      <w:r w:rsidR="00502F53">
        <w:t>,</w:t>
      </w:r>
      <w:r w:rsidR="005D7A93">
        <w:t xml:space="preserve"> a tím podnítit</w:t>
      </w:r>
      <w:r w:rsidR="000C49A6">
        <w:t xml:space="preserve"> rozvoj sekundárních trhů s úvěry v selhání. Návrh tak </w:t>
      </w:r>
      <w:r w:rsidR="000569A2">
        <w:t xml:space="preserve">má za cíl odstranit </w:t>
      </w:r>
      <w:r w:rsidR="000C49A6">
        <w:t>překážky při převodu úvěr</w:t>
      </w:r>
      <w:r w:rsidR="00502F53">
        <w:t>u</w:t>
      </w:r>
      <w:r w:rsidR="000C49A6">
        <w:t xml:space="preserve"> v selhání od banky na </w:t>
      </w:r>
      <w:r w:rsidR="000569A2">
        <w:t xml:space="preserve">obchodníka s </w:t>
      </w:r>
      <w:r w:rsidR="000C49A6">
        <w:t>úvěr</w:t>
      </w:r>
      <w:r w:rsidR="00502F53">
        <w:t>y</w:t>
      </w:r>
      <w:r w:rsidR="000C49A6">
        <w:t xml:space="preserve">. </w:t>
      </w:r>
      <w:r w:rsidR="00F53FAD">
        <w:t xml:space="preserve">Harmonizace trhu ve všech členských státech </w:t>
      </w:r>
      <w:r w:rsidR="00D87054">
        <w:t>má zvýšit</w:t>
      </w:r>
      <w:r w:rsidR="00F53FAD">
        <w:t xml:space="preserve"> přístupnost </w:t>
      </w:r>
      <w:r w:rsidR="00824D21">
        <w:t xml:space="preserve">správců </w:t>
      </w:r>
      <w:r w:rsidR="00502F53">
        <w:t>úvěr</w:t>
      </w:r>
      <w:r w:rsidR="008E0A3D">
        <w:t>u</w:t>
      </w:r>
      <w:r w:rsidR="00502F53">
        <w:t xml:space="preserve"> </w:t>
      </w:r>
      <w:r w:rsidR="00824D21">
        <w:t xml:space="preserve">a obchodníků s úvěry </w:t>
      </w:r>
      <w:r w:rsidR="00F53FAD">
        <w:t>na trh v rámci EU.</w:t>
      </w:r>
    </w:p>
    <w:p w:rsidR="00F53FAD" w:rsidP="007E4430"/>
    <w:p w:rsidR="00AE2577" w:rsidP="00C800DF">
      <w:pPr>
        <w:pStyle w:val="Heading1"/>
      </w:pPr>
      <w:r>
        <w:t xml:space="preserve">Působnost zákona </w:t>
      </w:r>
    </w:p>
    <w:p w:rsidR="00F8403D" w:rsidP="00C800DF">
      <w:r>
        <w:t>Při přípravě transpozičního zákona bude třeba vzhledem k působnosti směrnice NPL rozhodnout několik otázek. Směrnice NPL</w:t>
      </w:r>
      <w:r w:rsidR="0094228E">
        <w:t xml:space="preserve"> se </w:t>
      </w:r>
      <w:r>
        <w:t>vztahuje</w:t>
      </w:r>
      <w:r>
        <w:t xml:space="preserve"> na činnost dvou skupin aktérů na trhu s  bankovními úvěry</w:t>
      </w:r>
      <w:r w:rsidR="002C328D">
        <w:t xml:space="preserve"> v selhání</w:t>
      </w:r>
      <w:r>
        <w:t xml:space="preserve">: na osoby </w:t>
      </w:r>
      <w:r w:rsidR="00405469">
        <w:t xml:space="preserve">oprávněné </w:t>
      </w:r>
      <w:r>
        <w:t xml:space="preserve">poskytovat správu bankovních úvěrů </w:t>
      </w:r>
      <w:r w:rsidR="00D87054">
        <w:t xml:space="preserve">v selhání </w:t>
      </w:r>
      <w:r>
        <w:t>(</w:t>
      </w:r>
      <w:r w:rsidRPr="00E44152">
        <w:rPr>
          <w:b/>
        </w:rPr>
        <w:t>správci úvěr</w:t>
      </w:r>
      <w:r w:rsidRPr="00E44152" w:rsidR="008E0A3D">
        <w:rPr>
          <w:b/>
        </w:rPr>
        <w:t>u</w:t>
      </w:r>
      <w:r>
        <w:t>), včetně činnosti v</w:t>
      </w:r>
      <w:r w:rsidR="00BF7381">
        <w:t> </w:t>
      </w:r>
      <w:r>
        <w:t>zahraničí</w:t>
      </w:r>
      <w:r w:rsidR="00BF7381">
        <w:t>,</w:t>
      </w:r>
      <w:r>
        <w:t xml:space="preserve"> a </w:t>
      </w:r>
      <w:r>
        <w:t xml:space="preserve">na </w:t>
      </w:r>
      <w:r>
        <w:t>podnikatele, kteří nakupují bankovní úvěry</w:t>
      </w:r>
      <w:r w:rsidR="00D87054">
        <w:t xml:space="preserve"> v selhání</w:t>
      </w:r>
      <w:r>
        <w:t xml:space="preserve"> (</w:t>
      </w:r>
      <w:r w:rsidRPr="00E44152">
        <w:rPr>
          <w:b/>
        </w:rPr>
        <w:t>obchodníci s úvěry</w:t>
      </w:r>
      <w:r>
        <w:t>).</w:t>
      </w:r>
      <w:r w:rsidR="005B34B8">
        <w:t xml:space="preserve"> </w:t>
      </w:r>
    </w:p>
    <w:p w:rsidR="00E41569" w:rsidP="00C800DF">
      <w:r w:rsidRPr="00A62927">
        <w:t xml:space="preserve">Směrnice svou pravomoc limituje na bankovní úvěry, tedy úvěry poskytnuté úvěrovou </w:t>
      </w:r>
      <w:r w:rsidRPr="00A62927" w:rsidR="00405469">
        <w:t>institucí</w:t>
      </w:r>
      <w:r w:rsidR="00405469">
        <w:t xml:space="preserve"> </w:t>
      </w:r>
      <w:r>
        <w:t>ve smyslu čl. 4 odst. 1 nařízení 575/2013</w:t>
      </w:r>
      <w:r w:rsidR="00EA2E21">
        <w:t xml:space="preserve"> (</w:t>
      </w:r>
      <w:r w:rsidR="00573943">
        <w:t>Nařízení Evropského parlamentu a rady (EU) č. 575/2013 ze dne 26. června 2013 o obezřetnostních požadavcích na úvěrové instituce a investiční podniky a o změně nařízení (EU) č. 648/2012, v platném znění, dále jen „</w:t>
      </w:r>
      <w:r w:rsidR="00BF7381">
        <w:t xml:space="preserve">nařízení </w:t>
      </w:r>
      <w:r w:rsidR="00573943">
        <w:t>CRR“)</w:t>
      </w:r>
      <w:r>
        <w:t xml:space="preserve">, jež je </w:t>
      </w:r>
      <w:r w:rsidR="004171B3">
        <w:t xml:space="preserve">usazena </w:t>
      </w:r>
      <w:r>
        <w:t xml:space="preserve">v EU. </w:t>
      </w:r>
      <w:r w:rsidR="00726075">
        <w:t>B</w:t>
      </w:r>
      <w:r w:rsidR="005B34B8">
        <w:t xml:space="preserve">ankovním úvěrem </w:t>
      </w:r>
      <w:r w:rsidR="00726075">
        <w:t xml:space="preserve">v selhání </w:t>
      </w:r>
      <w:r w:rsidR="005B34B8">
        <w:t>se rozumí úvěr</w:t>
      </w:r>
      <w:r>
        <w:t xml:space="preserve"> poskytnutý úvěrovou institucí, který splňuje podmínky pro nevýkonnou expozici</w:t>
      </w:r>
      <w:r w:rsidR="005B34B8">
        <w:t xml:space="preserve"> podle čl. 47a</w:t>
      </w:r>
      <w:r w:rsidR="00AE1500">
        <w:t xml:space="preserve"> </w:t>
      </w:r>
      <w:r w:rsidR="002679AF">
        <w:t xml:space="preserve">nařízení </w:t>
      </w:r>
      <w:r w:rsidR="00E23082">
        <w:t>CRR</w:t>
      </w:r>
      <w:r w:rsidR="005B34B8">
        <w:t>.</w:t>
      </w:r>
    </w:p>
    <w:p w:rsidR="00E23082" w:rsidP="00C800DF">
      <w:r>
        <w:t>Směrnice</w:t>
      </w:r>
      <w:r w:rsidR="00383603">
        <w:t xml:space="preserve"> NPL</w:t>
      </w:r>
      <w:r>
        <w:t xml:space="preserve"> tedy využívá definice z nařízení CRR k  úvěrům</w:t>
      </w:r>
      <w:r w:rsidR="00726075">
        <w:t xml:space="preserve"> v selhání</w:t>
      </w:r>
      <w:r>
        <w:t xml:space="preserve">, které po určitém zjednodušení </w:t>
      </w:r>
      <w:r w:rsidR="004337EE">
        <w:t xml:space="preserve">představují </w:t>
      </w:r>
      <w:r>
        <w:t>úvěry, které jsou více jak 90 dnů po splatnosti nebo úvěry, které dlužník pravděpodobně nesplatí (tzv. unlikely to pay).</w:t>
      </w:r>
    </w:p>
    <w:p w:rsidR="002F6130" w:rsidP="00306364">
      <w:pPr>
        <w:autoSpaceDE w:val="0"/>
        <w:autoSpaceDN w:val="0"/>
        <w:adjustRightInd w:val="0"/>
        <w:spacing w:after="0" w:line="240" w:lineRule="auto"/>
      </w:pPr>
    </w:p>
    <w:p w:rsidR="002F6130" w:rsidP="00306364">
      <w:pPr>
        <w:autoSpaceDE w:val="0"/>
        <w:autoSpaceDN w:val="0"/>
        <w:adjustRightInd w:val="0"/>
        <w:spacing w:after="0" w:line="240" w:lineRule="auto"/>
        <w:rPr>
          <w:b/>
        </w:rPr>
      </w:pPr>
      <w:r w:rsidRPr="005F29C5">
        <w:rPr>
          <w:b/>
        </w:rPr>
        <w:t>Bankovní úvěry</w:t>
      </w:r>
    </w:p>
    <w:p w:rsidR="00D0596A" w:rsidRPr="005F29C5" w:rsidP="00306364">
      <w:pPr>
        <w:autoSpaceDE w:val="0"/>
        <w:autoSpaceDN w:val="0"/>
        <w:adjustRightInd w:val="0"/>
        <w:spacing w:after="0" w:line="240" w:lineRule="auto"/>
        <w:rPr>
          <w:b/>
        </w:rPr>
      </w:pPr>
    </w:p>
    <w:p w:rsidR="002F6130" w:rsidP="00306364">
      <w:pPr>
        <w:autoSpaceDE w:val="0"/>
        <w:autoSpaceDN w:val="0"/>
        <w:adjustRightInd w:val="0"/>
        <w:spacing w:after="0" w:line="240" w:lineRule="auto"/>
      </w:pPr>
      <w:r>
        <w:t xml:space="preserve">Směrnice </w:t>
      </w:r>
      <w:r w:rsidR="00D22E78">
        <w:t xml:space="preserve">NPL </w:t>
      </w:r>
      <w:r>
        <w:t xml:space="preserve">je limitována, jak </w:t>
      </w:r>
      <w:r w:rsidR="00D0596A">
        <w:t>jsme</w:t>
      </w:r>
      <w:r>
        <w:t xml:space="preserve"> uvedli výše</w:t>
      </w:r>
      <w:r w:rsidR="00D22E78">
        <w:t>,</w:t>
      </w:r>
      <w:r>
        <w:t xml:space="preserve"> pouze na úvěry poskytované evropskými úvěrovými instituce</w:t>
      </w:r>
      <w:r w:rsidR="00405469">
        <w:t>mi</w:t>
      </w:r>
      <w:r>
        <w:t>, v našem prostředí bank</w:t>
      </w:r>
      <w:r w:rsidR="00D0596A">
        <w:t>ou</w:t>
      </w:r>
      <w:r>
        <w:t xml:space="preserve">, spořitelním a úvěrním družstvem </w:t>
      </w:r>
      <w:r w:rsidR="00D0596A">
        <w:t>a zahraniční bankou</w:t>
      </w:r>
      <w:r w:rsidR="00177C88">
        <w:t xml:space="preserve"> se sídlem v jiném členském státě</w:t>
      </w:r>
      <w:r w:rsidR="00D0596A">
        <w:t>. Takto omezen</w:t>
      </w:r>
      <w:r w:rsidR="00405469">
        <w:t>á</w:t>
      </w:r>
      <w:r w:rsidR="00D0596A">
        <w:t xml:space="preserve"> působnost je dána cílem směrnice</w:t>
      </w:r>
      <w:r w:rsidR="00405469">
        <w:t>,</w:t>
      </w:r>
      <w:r w:rsidR="00D0596A">
        <w:t xml:space="preserve"> a </w:t>
      </w:r>
      <w:r w:rsidR="00D22E78">
        <w:t>tím</w:t>
      </w:r>
      <w:r w:rsidR="00D0596A">
        <w:t xml:space="preserve"> je snížit v bilancích bank úvěry</w:t>
      </w:r>
      <w:r w:rsidR="00332C1D">
        <w:t xml:space="preserve"> v selhání</w:t>
      </w:r>
      <w:r w:rsidR="00D0596A">
        <w:t>. Je v rámci transpozice na zvážení</w:t>
      </w:r>
      <w:r w:rsidR="00011F55">
        <w:t>,</w:t>
      </w:r>
      <w:r w:rsidR="00D0596A">
        <w:t xml:space="preserve"> zda </w:t>
      </w:r>
      <w:r w:rsidR="00D111CC">
        <w:t xml:space="preserve">je vhodné </w:t>
      </w:r>
      <w:r w:rsidR="00D0596A">
        <w:t xml:space="preserve">rozšíření působnosti transpozičního zákona i na </w:t>
      </w:r>
      <w:r w:rsidR="003735FB">
        <w:t>ú</w:t>
      </w:r>
      <w:r w:rsidRPr="003735FB" w:rsidR="003735FB">
        <w:t>věry poskytnuté jinými subjekty, než jsou úvěrové instituce, např. nebankovní</w:t>
      </w:r>
      <w:r w:rsidR="008067D9">
        <w:t>mi</w:t>
      </w:r>
      <w:r w:rsidRPr="003735FB" w:rsidR="003735FB">
        <w:t xml:space="preserve"> poskytovatel</w:t>
      </w:r>
      <w:r w:rsidR="008067D9">
        <w:t>i</w:t>
      </w:r>
      <w:r w:rsidRPr="003735FB" w:rsidR="003735FB">
        <w:t xml:space="preserve"> spotřebitelského úvěru. </w:t>
      </w:r>
      <w:r w:rsidR="003A2138">
        <w:t>R</w:t>
      </w:r>
      <w:r w:rsidRPr="003735FB" w:rsidR="003735FB">
        <w:t xml:space="preserve">ozšíření působnosti </w:t>
      </w:r>
      <w:r w:rsidR="008067D9">
        <w:t xml:space="preserve">pravidel stanovených </w:t>
      </w:r>
      <w:r w:rsidRPr="003735FB" w:rsidR="003735FB">
        <w:t>směrnic</w:t>
      </w:r>
      <w:r w:rsidR="008067D9">
        <w:t>í</w:t>
      </w:r>
      <w:r w:rsidRPr="003735FB" w:rsidR="003735FB">
        <w:t xml:space="preserve"> by pak mohlo</w:t>
      </w:r>
      <w:r w:rsidR="00D111CC">
        <w:t xml:space="preserve"> také</w:t>
      </w:r>
      <w:r w:rsidRPr="003735FB" w:rsidR="003735FB">
        <w:t xml:space="preserve"> zahrnout i širší spektrum dluhů než </w:t>
      </w:r>
      <w:r w:rsidR="00B80744">
        <w:t> jen spotřebitelské úvěry nebo úvěry poskytnuté úvěrovou institucí</w:t>
      </w:r>
      <w:r w:rsidRPr="003735FB" w:rsidR="003735FB">
        <w:t>.</w:t>
      </w:r>
    </w:p>
    <w:p w:rsidR="00CC1E6F" w:rsidP="00CC1E6F">
      <w:pPr>
        <w:rPr>
          <w:b/>
        </w:rPr>
      </w:pPr>
    </w:p>
    <w:p w:rsidR="00CC1E6F" w:rsidRPr="00C800DF" w:rsidP="00CC1E6F">
      <w:pPr>
        <w:rPr>
          <w:b/>
        </w:rPr>
      </w:pPr>
      <w:r>
        <w:rPr>
          <w:b/>
        </w:rPr>
        <w:t>Konzultační otázka</w:t>
      </w:r>
    </w:p>
    <w:p w:rsidR="00D0596A" w:rsidP="00306364">
      <w:pPr>
        <w:autoSpaceDE w:val="0"/>
        <w:autoSpaceDN w:val="0"/>
        <w:adjustRightInd w:val="0"/>
        <w:spacing w:after="0" w:line="240" w:lineRule="auto"/>
      </w:pPr>
    </w:p>
    <w:tbl>
      <w:tblPr>
        <w:tblStyle w:val="TableGrid"/>
        <w:tblW w:w="0" w:type="auto"/>
        <w:tblLook w:val="04A0"/>
      </w:tblPr>
      <w:tblGrid>
        <w:gridCol w:w="9213"/>
      </w:tblGrid>
      <w:tr w:rsidTr="00CC1964">
        <w:tblPrEx>
          <w:tblW w:w="0" w:type="auto"/>
          <w:tblLook w:val="04A0"/>
        </w:tblPrEx>
        <w:trPr>
          <w:trHeight w:val="256"/>
        </w:trPr>
        <w:tc>
          <w:tcPr>
            <w:tcW w:w="9213" w:type="dxa"/>
            <w:shd w:val="clear" w:color="auto" w:fill="D9D9D9" w:themeFill="background1" w:themeFillShade="D9"/>
          </w:tcPr>
          <w:p w:rsidR="00D0596A" w:rsidRPr="00F44A28" w:rsidP="00CC1964">
            <w:pPr>
              <w:pStyle w:val="ListParagraph"/>
              <w:numPr>
                <w:ilvl w:val="0"/>
                <w:numId w:val="29"/>
              </w:numPr>
              <w:spacing w:before="120" w:line="276" w:lineRule="auto"/>
              <w:contextualSpacing w:val="0"/>
            </w:pPr>
            <w:r>
              <w:t>Jak byste preferovali přistoupit k působnosti transpozičního zákona, měl by se zákon vztahovat i na jiné úvěry než ty poskytnuté bankou</w:t>
            </w:r>
            <w:r>
              <w:t>?</w:t>
            </w:r>
          </w:p>
        </w:tc>
      </w:tr>
      <w:tr w:rsidTr="00CC1964">
        <w:tblPrEx>
          <w:tblW w:w="0" w:type="auto"/>
          <w:tblLook w:val="04A0"/>
        </w:tblPrEx>
        <w:tc>
          <w:tcPr>
            <w:tcW w:w="9213" w:type="dxa"/>
            <w:shd w:val="clear" w:color="auto" w:fill="FFFFFF" w:themeFill="background1"/>
          </w:tcPr>
          <w:p w:rsidR="00332C1D" w:rsidP="00CC1964">
            <w:pPr>
              <w:spacing w:before="120" w:line="276" w:lineRule="auto"/>
            </w:pPr>
            <w:r>
              <w:t>1</w:t>
            </w:r>
            <w:r w:rsidR="00DC62DC">
              <w:t xml:space="preserve">.1 </w:t>
            </w:r>
            <w:r w:rsidR="008067D9">
              <w:t xml:space="preserve">Zákon </w:t>
            </w:r>
            <w:r>
              <w:t>by se měl vztahovat pouze na bankovní úvěry: Ano/Ne</w:t>
            </w:r>
          </w:p>
          <w:p w:rsidR="00D0596A" w:rsidP="00CC1964">
            <w:pPr>
              <w:spacing w:before="120" w:line="276" w:lineRule="auto"/>
            </w:pPr>
            <w:r>
              <w:t>1</w:t>
            </w:r>
            <w:r w:rsidR="00332C1D">
              <w:t>.2 Zákon by se měl rozšířit na všechny s</w:t>
            </w:r>
            <w:r>
              <w:t>potřebitelské úvěry: Ano/Ne</w:t>
            </w:r>
          </w:p>
          <w:p w:rsidR="00A62927" w:rsidP="00CC1964">
            <w:pPr>
              <w:spacing w:before="120" w:line="276" w:lineRule="auto"/>
            </w:pPr>
            <w:r>
              <w:t>1</w:t>
            </w:r>
            <w:r w:rsidR="000254A7">
              <w:t xml:space="preserve">.3 Zákon by se měl rozšířit na </w:t>
            </w:r>
            <w:r w:rsidR="00B80744">
              <w:t>jiné typy úvěru</w:t>
            </w:r>
            <w:r w:rsidR="000254A7">
              <w:t>: Ano/Ne</w:t>
            </w:r>
            <w:r>
              <w:t xml:space="preserve">. </w:t>
            </w:r>
          </w:p>
          <w:p w:rsidR="000254A7" w:rsidP="00CC1964">
            <w:pPr>
              <w:spacing w:before="120" w:line="276" w:lineRule="auto"/>
            </w:pPr>
            <w:r>
              <w:t>V případě kladné odpovědi u</w:t>
            </w:r>
            <w:r w:rsidR="00B80744">
              <w:t>veďte jaké:</w:t>
            </w:r>
          </w:p>
          <w:p w:rsidR="00D0596A" w:rsidRPr="00F44A28" w:rsidP="00CC1964">
            <w:pPr>
              <w:spacing w:before="120" w:line="276" w:lineRule="auto"/>
            </w:pPr>
            <w:r>
              <w:t>Odůvodnění</w:t>
            </w:r>
            <w:r w:rsidRPr="00F44A28">
              <w:t>:</w:t>
            </w:r>
          </w:p>
        </w:tc>
      </w:tr>
    </w:tbl>
    <w:p w:rsidR="00D0596A" w:rsidP="00306364">
      <w:pPr>
        <w:autoSpaceDE w:val="0"/>
        <w:autoSpaceDN w:val="0"/>
        <w:adjustRightInd w:val="0"/>
        <w:spacing w:after="0" w:line="240" w:lineRule="auto"/>
      </w:pPr>
    </w:p>
    <w:p w:rsidR="00D0596A" w:rsidP="00306364">
      <w:pPr>
        <w:autoSpaceDE w:val="0"/>
        <w:autoSpaceDN w:val="0"/>
        <w:adjustRightInd w:val="0"/>
        <w:spacing w:after="0" w:line="240" w:lineRule="auto"/>
      </w:pPr>
    </w:p>
    <w:p w:rsidR="00306364" w:rsidP="00306364">
      <w:pPr>
        <w:autoSpaceDE w:val="0"/>
        <w:autoSpaceDN w:val="0"/>
        <w:adjustRightInd w:val="0"/>
        <w:spacing w:after="0" w:line="240" w:lineRule="auto"/>
        <w:rPr>
          <w:b/>
        </w:rPr>
      </w:pPr>
      <w:r w:rsidRPr="005F29C5">
        <w:rPr>
          <w:b/>
        </w:rPr>
        <w:t>Svobodná povolání</w:t>
      </w:r>
    </w:p>
    <w:p w:rsidR="00D0596A" w:rsidRPr="005F29C5" w:rsidP="00306364">
      <w:pPr>
        <w:autoSpaceDE w:val="0"/>
        <w:autoSpaceDN w:val="0"/>
        <w:adjustRightInd w:val="0"/>
        <w:spacing w:after="0" w:line="240" w:lineRule="auto"/>
        <w:rPr>
          <w:b/>
        </w:rPr>
      </w:pPr>
    </w:p>
    <w:p w:rsidR="00D84E36" w:rsidP="005F29C5">
      <w:r w:rsidRPr="00227CCD">
        <w:t>Diskrece v čl. 2 odst.</w:t>
      </w:r>
      <w:r w:rsidRPr="00227CCD" w:rsidR="00011F55">
        <w:t xml:space="preserve"> </w:t>
      </w:r>
      <w:r w:rsidRPr="00227CCD" w:rsidR="000254A7">
        <w:t xml:space="preserve">6 </w:t>
      </w:r>
      <w:r w:rsidRPr="00227CCD" w:rsidR="00011F55">
        <w:t xml:space="preserve">směrnice </w:t>
      </w:r>
      <w:r w:rsidRPr="00227CCD">
        <w:t xml:space="preserve">NPL </w:t>
      </w:r>
      <w:r w:rsidRPr="00227CCD" w:rsidR="00C275AF">
        <w:t xml:space="preserve">ve spojení s recitálem </w:t>
      </w:r>
      <w:r w:rsidRPr="00227CCD" w:rsidR="00227CCD">
        <w:t xml:space="preserve">23 </w:t>
      </w:r>
      <w:r w:rsidRPr="00227CCD">
        <w:t>směrnice</w:t>
      </w:r>
      <w:r w:rsidRPr="00227CCD" w:rsidR="00011F55">
        <w:t xml:space="preserve"> NPL</w:t>
      </w:r>
      <w:r w:rsidRPr="00227CCD">
        <w:t xml:space="preserve"> opravňuje členské státy vyjmou</w:t>
      </w:r>
      <w:r w:rsidRPr="00227CCD" w:rsidR="00C275AF">
        <w:t>t</w:t>
      </w:r>
      <w:r w:rsidRPr="00227CCD">
        <w:t xml:space="preserve"> z působnosti </w:t>
      </w:r>
      <w:r w:rsidR="00E607F9">
        <w:t xml:space="preserve">směrnice specializovaná právnická povolání. To </w:t>
      </w:r>
      <w:r w:rsidR="00E607F9">
        <w:t xml:space="preserve">znamená, že by advokáti, notáři a soudní exekutoři neměli </w:t>
      </w:r>
      <w:r w:rsidRPr="00227CCD" w:rsidR="00D57E50">
        <w:t xml:space="preserve">povinnost mít povolení na činnost, </w:t>
      </w:r>
      <w:r w:rsidRPr="00227CCD" w:rsidR="00DC62DC">
        <w:t xml:space="preserve">která </w:t>
      </w:r>
      <w:r w:rsidRPr="00227CCD" w:rsidR="00D57E50">
        <w:t>je podle směrnice považována za správu úvěru</w:t>
      </w:r>
      <w:r w:rsidRPr="00227CCD" w:rsidR="00563138">
        <w:t>,</w:t>
      </w:r>
      <w:r w:rsidRPr="00227CCD" w:rsidR="00D57E50">
        <w:t xml:space="preserve"> </w:t>
      </w:r>
      <w:r w:rsidR="00E607F9">
        <w:t>a ani by se na ně nevztahovaly povinnosti dané pro obchodníky s úvěr</w:t>
      </w:r>
      <w:r w:rsidR="00FF1CA8">
        <w:t>y</w:t>
      </w:r>
      <w:r w:rsidRPr="00227CCD" w:rsidR="00D57E50">
        <w:t xml:space="preserve">. </w:t>
      </w:r>
    </w:p>
    <w:p w:rsidR="00C275AF" w:rsidP="005F29C5">
      <w:r w:rsidRPr="00227CCD">
        <w:t xml:space="preserve">Diskrece umožňuje členským státům </w:t>
      </w:r>
      <w:r w:rsidR="00FF1CA8">
        <w:t xml:space="preserve">činnost notářů, </w:t>
      </w:r>
      <w:r w:rsidR="00E93737">
        <w:t>advokátů</w:t>
      </w:r>
      <w:r w:rsidR="00FF1CA8">
        <w:t xml:space="preserve"> a </w:t>
      </w:r>
      <w:r w:rsidR="00E93737">
        <w:t xml:space="preserve">soudních exekutorů </w:t>
      </w:r>
      <w:r w:rsidR="00E607F9">
        <w:t>vyjmout z působnosti směrnice a tedy i transpozičního zákona, tedy žádné povinnosti podle transpozičního zákona na ně nevztahovat.</w:t>
      </w:r>
    </w:p>
    <w:p w:rsidR="00E607F9" w:rsidP="005F29C5">
      <w:pPr>
        <w:rPr>
          <w:i/>
        </w:rPr>
      </w:pPr>
    </w:p>
    <w:p w:rsidR="00C800DF" w:rsidRPr="00C800DF" w:rsidP="00C800DF">
      <w:pPr>
        <w:rPr>
          <w:b/>
        </w:rPr>
      </w:pPr>
      <w:r w:rsidRPr="00F44A28">
        <w:rPr>
          <w:b/>
        </w:rPr>
        <w:t xml:space="preserve">Konzultační </w:t>
      </w:r>
      <w:r w:rsidRPr="00F44A28" w:rsidR="00827F68">
        <w:rPr>
          <w:b/>
        </w:rPr>
        <w:t>otázk</w:t>
      </w:r>
      <w:r w:rsidR="00827F68">
        <w:rPr>
          <w:b/>
        </w:rPr>
        <w:t>a</w:t>
      </w:r>
    </w:p>
    <w:tbl>
      <w:tblPr>
        <w:tblStyle w:val="TableGrid"/>
        <w:tblW w:w="0" w:type="auto"/>
        <w:tblLook w:val="04A0"/>
      </w:tblPr>
      <w:tblGrid>
        <w:gridCol w:w="9213"/>
      </w:tblGrid>
      <w:tr w:rsidTr="00CC1964">
        <w:tblPrEx>
          <w:tblW w:w="0" w:type="auto"/>
          <w:tblLook w:val="04A0"/>
        </w:tblPrEx>
        <w:trPr>
          <w:trHeight w:val="256"/>
        </w:trPr>
        <w:tc>
          <w:tcPr>
            <w:tcW w:w="9213" w:type="dxa"/>
            <w:shd w:val="clear" w:color="auto" w:fill="D9D9D9" w:themeFill="background1" w:themeFillShade="D9"/>
          </w:tcPr>
          <w:p w:rsidR="00D57B13" w:rsidRPr="00F44A28" w:rsidP="00E93737">
            <w:pPr>
              <w:pStyle w:val="ListParagraph"/>
              <w:numPr>
                <w:ilvl w:val="0"/>
                <w:numId w:val="29"/>
              </w:numPr>
              <w:spacing w:before="120" w:line="276" w:lineRule="auto"/>
              <w:contextualSpacing w:val="0"/>
            </w:pPr>
            <w:r w:rsidRPr="001B06C9">
              <w:t xml:space="preserve">Měla by Česká republika využít diskreci a vyjmout z působnosti zákona </w:t>
            </w:r>
            <w:r w:rsidR="00E93737">
              <w:t xml:space="preserve">činnost </w:t>
            </w:r>
            <w:r w:rsidRPr="001B06C9" w:rsidR="00E93737">
              <w:t>někter</w:t>
            </w:r>
            <w:r w:rsidR="00E93737">
              <w:t>ých</w:t>
            </w:r>
            <w:r w:rsidRPr="001B06C9" w:rsidR="00E93737">
              <w:t xml:space="preserve"> </w:t>
            </w:r>
            <w:r w:rsidRPr="001B06C9">
              <w:t>právní</w:t>
            </w:r>
            <w:r w:rsidR="00E93737">
              <w:t>ch</w:t>
            </w:r>
            <w:r w:rsidRPr="001B06C9">
              <w:t xml:space="preserve"> </w:t>
            </w:r>
            <w:r w:rsidRPr="001B06C9" w:rsidR="00E93737">
              <w:t>profes</w:t>
            </w:r>
            <w:r w:rsidR="00E93737">
              <w:t>í</w:t>
            </w:r>
            <w:r w:rsidRPr="001B06C9" w:rsidR="00E93737">
              <w:t xml:space="preserve"> </w:t>
            </w:r>
            <w:r w:rsidRPr="001B06C9">
              <w:t xml:space="preserve">jako </w:t>
            </w:r>
            <w:r w:rsidR="00E93737">
              <w:t xml:space="preserve">jsou </w:t>
            </w:r>
            <w:r w:rsidRPr="001B06C9" w:rsidR="00E93737">
              <w:t>advokát</w:t>
            </w:r>
            <w:r w:rsidR="00E93737">
              <w:t>i</w:t>
            </w:r>
            <w:r w:rsidRPr="001B06C9">
              <w:t xml:space="preserve">, </w:t>
            </w:r>
            <w:r w:rsidRPr="001B06C9" w:rsidR="00E93737">
              <w:t>notář</w:t>
            </w:r>
            <w:r w:rsidR="00E93737">
              <w:t>i</w:t>
            </w:r>
            <w:r w:rsidRPr="001B06C9">
              <w:t>, soudní exekuto</w:t>
            </w:r>
            <w:r w:rsidR="00E93737">
              <w:t>ři</w:t>
            </w:r>
            <w:r w:rsidRPr="001B06C9">
              <w:t xml:space="preserve"> </w:t>
            </w:r>
            <w:r w:rsidR="00D41F60">
              <w:t xml:space="preserve">(viz </w:t>
            </w:r>
            <w:r w:rsidRPr="00227CCD" w:rsidR="00D41F60">
              <w:t xml:space="preserve">čl. 2 odst. </w:t>
            </w:r>
            <w:r w:rsidR="00227CCD">
              <w:t>6</w:t>
            </w:r>
            <w:r w:rsidR="00D41F60">
              <w:t>)</w:t>
            </w:r>
            <w:r w:rsidRPr="001B06C9">
              <w:t xml:space="preserve">? </w:t>
            </w:r>
          </w:p>
        </w:tc>
      </w:tr>
      <w:tr w:rsidTr="00CC1964">
        <w:tblPrEx>
          <w:tblW w:w="0" w:type="auto"/>
          <w:tblLook w:val="04A0"/>
        </w:tblPrEx>
        <w:tc>
          <w:tcPr>
            <w:tcW w:w="9213" w:type="dxa"/>
            <w:shd w:val="clear" w:color="auto" w:fill="FFFFFF" w:themeFill="background1"/>
          </w:tcPr>
          <w:p w:rsidR="00D57B13" w:rsidRPr="00F44A28" w:rsidP="00CC1964">
            <w:pPr>
              <w:spacing w:before="120" w:line="276" w:lineRule="auto"/>
            </w:pPr>
            <w:r w:rsidRPr="00F44A28">
              <w:t>Odpověď:</w:t>
            </w:r>
          </w:p>
        </w:tc>
      </w:tr>
    </w:tbl>
    <w:p w:rsidR="00AE2577" w:rsidP="007E4430">
      <w:pPr>
        <w:rPr>
          <w:color w:val="FF0000"/>
        </w:rPr>
      </w:pPr>
    </w:p>
    <w:p w:rsidR="00C275AF" w:rsidP="006F461A">
      <w:pPr>
        <w:pStyle w:val="Heading1"/>
      </w:pPr>
      <w:r>
        <w:t>Přijímání a d</w:t>
      </w:r>
      <w:r w:rsidR="006F461A">
        <w:t>ržení peněžních prostředků</w:t>
      </w:r>
      <w:r w:rsidR="00F6054A">
        <w:t xml:space="preserve"> od dlužníků</w:t>
      </w:r>
    </w:p>
    <w:p w:rsidR="00664602" w:rsidP="00664602">
      <w:r w:rsidRPr="00492E9A">
        <w:t>Směrnice</w:t>
      </w:r>
      <w:r w:rsidR="00C52634">
        <w:t xml:space="preserve"> NPL</w:t>
      </w:r>
      <w:r w:rsidRPr="00492E9A">
        <w:t xml:space="preserve"> dává členským státům na výběr v otázce, zda bude správcům úvěr</w:t>
      </w:r>
      <w:r w:rsidR="00AE2CE8">
        <w:t>u</w:t>
      </w:r>
      <w:r w:rsidR="00AF3B2D">
        <w:t xml:space="preserve"> </w:t>
      </w:r>
      <w:r w:rsidRPr="00492E9A">
        <w:t xml:space="preserve">umožněno </w:t>
      </w:r>
      <w:r w:rsidR="00563138">
        <w:t xml:space="preserve">přijímat a </w:t>
      </w:r>
      <w:r w:rsidRPr="00492E9A">
        <w:t>držet peněžní prostředky</w:t>
      </w:r>
      <w:r w:rsidRPr="00492E9A" w:rsidR="00492E9A">
        <w:t xml:space="preserve"> </w:t>
      </w:r>
      <w:r w:rsidR="00BC0030">
        <w:t>inkasované od</w:t>
      </w:r>
      <w:r w:rsidRPr="00492E9A" w:rsidR="00BC0030">
        <w:t xml:space="preserve"> </w:t>
      </w:r>
      <w:r w:rsidRPr="00492E9A" w:rsidR="00492E9A">
        <w:t>dlužníků</w:t>
      </w:r>
      <w:r w:rsidR="00E87AAF">
        <w:t>,</w:t>
      </w:r>
      <w:r w:rsidRPr="00492E9A">
        <w:t xml:space="preserve"> či nikoliv. Výkon </w:t>
      </w:r>
      <w:r w:rsidR="006255C9">
        <w:t xml:space="preserve">činnosti </w:t>
      </w:r>
      <w:r w:rsidRPr="00492E9A">
        <w:t>správce</w:t>
      </w:r>
      <w:r w:rsidR="00DC62DC">
        <w:t xml:space="preserve"> úvěru</w:t>
      </w:r>
      <w:r w:rsidRPr="00492E9A">
        <w:t xml:space="preserve"> bude podle čl. 4 </w:t>
      </w:r>
      <w:r w:rsidR="006255C9">
        <w:t xml:space="preserve">směrnice </w:t>
      </w:r>
      <w:r w:rsidR="00C52634">
        <w:t xml:space="preserve">NPL </w:t>
      </w:r>
      <w:r w:rsidRPr="00492E9A">
        <w:t xml:space="preserve">podléhat udělení </w:t>
      </w:r>
      <w:r w:rsidR="00563138">
        <w:t>povolení</w:t>
      </w:r>
      <w:r w:rsidRPr="00492E9A" w:rsidR="00563138">
        <w:t xml:space="preserve"> </w:t>
      </w:r>
      <w:r w:rsidRPr="00492E9A">
        <w:t xml:space="preserve">od </w:t>
      </w:r>
      <w:r w:rsidR="00C52634">
        <w:t>dohledového orgánu</w:t>
      </w:r>
      <w:r w:rsidRPr="00492E9A">
        <w:t xml:space="preserve"> členského státu při </w:t>
      </w:r>
      <w:r w:rsidRPr="00492E9A" w:rsidR="00DC62DC">
        <w:t>splněn</w:t>
      </w:r>
      <w:r w:rsidR="00DC62DC">
        <w:t>í</w:t>
      </w:r>
      <w:r w:rsidRPr="00492E9A" w:rsidR="00DC62DC">
        <w:t xml:space="preserve"> </w:t>
      </w:r>
      <w:r w:rsidRPr="00492E9A">
        <w:t xml:space="preserve">podmínek v čl. 5 </w:t>
      </w:r>
      <w:r w:rsidR="00500486">
        <w:t>směrnice</w:t>
      </w:r>
      <w:r w:rsidRPr="00C52634" w:rsidR="00C52634">
        <w:t xml:space="preserve"> </w:t>
      </w:r>
      <w:r w:rsidRPr="00492E9A" w:rsidR="00C52634">
        <w:t>NPL</w:t>
      </w:r>
      <w:r w:rsidR="006255C9">
        <w:t>.</w:t>
      </w:r>
    </w:p>
    <w:p w:rsidR="006255C9" w:rsidP="0019077B">
      <w:r>
        <w:t>Správou bankovního úvěru se v kontextu připravovaného transpozičního předpisu myslí vymáhání plateb pro věřitele,</w:t>
      </w:r>
      <w:r w:rsidR="00542F17">
        <w:t xml:space="preserve"> jednání s dlužníkem o</w:t>
      </w:r>
      <w:r>
        <w:t xml:space="preserve"> změn</w:t>
      </w:r>
      <w:r w:rsidR="00542F17">
        <w:t>ě</w:t>
      </w:r>
      <w:r>
        <w:t xml:space="preserve"> smlouvy o bankovním úvěru podle pokynů obchodníka s úvěry, zpracovávání stížností dlužníka </w:t>
      </w:r>
      <w:r w:rsidR="00767868">
        <w:t xml:space="preserve">související s bankovním úvěrem </w:t>
      </w:r>
      <w:r>
        <w:t xml:space="preserve">a informování dlužníka o změně úrokových sazeb, úplaty či splátek plynoucích z bankovního úvěru. </w:t>
      </w:r>
    </w:p>
    <w:p w:rsidR="00664602" w:rsidRPr="00C06D46" w:rsidP="0019077B">
      <w:pPr>
        <w:rPr>
          <w:b/>
        </w:rPr>
      </w:pPr>
      <w:r>
        <w:t>P</w:t>
      </w:r>
      <w:r>
        <w:t xml:space="preserve">rávě </w:t>
      </w:r>
      <w:r w:rsidR="00C52634">
        <w:t>oblast</w:t>
      </w:r>
      <w:r>
        <w:t xml:space="preserve"> vymáhání plateb je předmětem </w:t>
      </w:r>
      <w:r>
        <w:t>této otázky</w:t>
      </w:r>
      <w:r>
        <w:t xml:space="preserve">, neboť i v rámci </w:t>
      </w:r>
      <w:r>
        <w:t>projednávání předpisu v EU</w:t>
      </w:r>
      <w:r>
        <w:t xml:space="preserve"> bylo</w:t>
      </w:r>
      <w:r>
        <w:t xml:space="preserve"> diskutováno</w:t>
      </w:r>
      <w:r>
        <w:t xml:space="preserve">, zda by vůbec </w:t>
      </w:r>
      <w:r>
        <w:t>mělo být u</w:t>
      </w:r>
      <w:r>
        <w:t>možn</w:t>
      </w:r>
      <w:r>
        <w:t>ěn</w:t>
      </w:r>
      <w:r>
        <w:t>o správc</w:t>
      </w:r>
      <w:r w:rsidR="003E37CC">
        <w:t>i</w:t>
      </w:r>
      <w:r>
        <w:t xml:space="preserve"> úvěrů přijímat platby</w:t>
      </w:r>
      <w:r w:rsidR="003E37CC">
        <w:t>,</w:t>
      </w:r>
      <w:r>
        <w:t xml:space="preserve"> i když </w:t>
      </w:r>
      <w:r w:rsidR="003E37CC">
        <w:t>nemá oprávnění poskytovat</w:t>
      </w:r>
      <w:r>
        <w:t xml:space="preserve"> platební služb</w:t>
      </w:r>
      <w:r w:rsidR="003E37CC">
        <w:t xml:space="preserve">y. </w:t>
      </w:r>
      <w:r w:rsidRPr="00C06D46" w:rsidR="00992954">
        <w:rPr>
          <w:b/>
        </w:rPr>
        <w:t xml:space="preserve">Správce úvěru by </w:t>
      </w:r>
      <w:r w:rsidRPr="00C06D46" w:rsidR="003E37CC">
        <w:rPr>
          <w:b/>
        </w:rPr>
        <w:t xml:space="preserve">v určitých případech </w:t>
      </w:r>
      <w:r w:rsidRPr="00C06D46" w:rsidR="00992954">
        <w:rPr>
          <w:b/>
        </w:rPr>
        <w:t>mohl využívat výjimky podle čl. 3 písm. k</w:t>
      </w:r>
      <w:r w:rsidRPr="00C06D46" w:rsidR="002104A9">
        <w:rPr>
          <w:b/>
        </w:rPr>
        <w:t xml:space="preserve">) </w:t>
      </w:r>
      <w:r w:rsidRPr="00C06D46" w:rsidR="00C52634">
        <w:rPr>
          <w:b/>
        </w:rPr>
        <w:t xml:space="preserve">směrnice </w:t>
      </w:r>
      <w:r w:rsidRPr="00C06D46" w:rsidR="002104A9">
        <w:rPr>
          <w:b/>
        </w:rPr>
        <w:t>PSD II</w:t>
      </w:r>
      <w:r w:rsidR="00A62B33">
        <w:rPr>
          <w:b/>
        </w:rPr>
        <w:t xml:space="preserve"> </w:t>
      </w:r>
      <w:r w:rsidRPr="00A62927" w:rsidR="00A62B33">
        <w:t>(</w:t>
      </w:r>
      <w:r w:rsidR="00A62B33">
        <w:t>Směrnice Evropského parlamentu a Rady (EU) 2015/2366 ze dne 25. listopadu 2015 o platebních službách na vnitřním trhu, o změně směrnice 2002/65/ES, 2009/110/ES, 2013/36/EU a nařízení (EU) č. 1093/2010 a o zrušení směrnice 2007/64/ES</w:t>
      </w:r>
      <w:r w:rsidRPr="00A62927" w:rsidR="00A62B33">
        <w:t>)</w:t>
      </w:r>
      <w:r w:rsidRPr="00C06D46">
        <w:rPr>
          <w:b/>
        </w:rPr>
        <w:t>, v takovém případě</w:t>
      </w:r>
      <w:r w:rsidRPr="00C06D46" w:rsidR="002104A9">
        <w:rPr>
          <w:b/>
        </w:rPr>
        <w:t xml:space="preserve"> by se mohlo jednat o tzv. limited network</w:t>
      </w:r>
      <w:r w:rsidRPr="00C06D46" w:rsidR="0060774D">
        <w:rPr>
          <w:b/>
        </w:rPr>
        <w:t xml:space="preserve"> </w:t>
      </w:r>
      <w:r w:rsidRPr="00C06D46" w:rsidR="003E37CC">
        <w:rPr>
          <w:b/>
        </w:rPr>
        <w:t>[</w:t>
      </w:r>
      <w:r w:rsidRPr="00C06D46" w:rsidR="0060774D">
        <w:rPr>
          <w:b/>
        </w:rPr>
        <w:t>§ 3 odst. 3 písem d) bod 6 zákona č. 370/2017 Sb., o platebním styku, v platném znění</w:t>
      </w:r>
      <w:r w:rsidRPr="00C06D46" w:rsidR="003E37CC">
        <w:rPr>
          <w:b/>
        </w:rPr>
        <w:t>]</w:t>
      </w:r>
      <w:r w:rsidRPr="00C06D46" w:rsidR="0060774D">
        <w:rPr>
          <w:b/>
        </w:rPr>
        <w:t>.</w:t>
      </w:r>
    </w:p>
    <w:p w:rsidR="00492E9A" w:rsidRPr="00492E9A" w:rsidP="007E4430">
      <w:r w:rsidRPr="00492E9A">
        <w:t xml:space="preserve">V případě </w:t>
      </w:r>
      <w:r w:rsidR="00F6054A">
        <w:t>využití diskrece a povolení</w:t>
      </w:r>
      <w:r w:rsidRPr="00492E9A">
        <w:t xml:space="preserve"> správcům</w:t>
      </w:r>
      <w:r w:rsidR="0060774D">
        <w:t xml:space="preserve"> úvěrů</w:t>
      </w:r>
      <w:r w:rsidRPr="00492E9A">
        <w:t xml:space="preserve"> přijímat a držet finanční prostředky od dlužníků je členský stát povinen rozšířit podmínky pro udělen</w:t>
      </w:r>
      <w:r w:rsidR="002A132E">
        <w:t>í</w:t>
      </w:r>
      <w:r w:rsidRPr="00492E9A">
        <w:t xml:space="preserve"> </w:t>
      </w:r>
      <w:r w:rsidR="000B37DF">
        <w:t>povolení</w:t>
      </w:r>
      <w:r w:rsidRPr="00492E9A" w:rsidR="000B37DF">
        <w:t xml:space="preserve"> </w:t>
      </w:r>
      <w:r w:rsidR="006255C9">
        <w:t xml:space="preserve">podle </w:t>
      </w:r>
      <w:r w:rsidRPr="00492E9A">
        <w:t xml:space="preserve">čl. </w:t>
      </w:r>
      <w:r w:rsidR="00227CCD">
        <w:t>6</w:t>
      </w:r>
      <w:r w:rsidRPr="00492E9A" w:rsidR="00227CCD">
        <w:t xml:space="preserve"> </w:t>
      </w:r>
      <w:r w:rsidR="006255C9">
        <w:t xml:space="preserve">směrnice NPL </w:t>
      </w:r>
      <w:r w:rsidRPr="00492E9A">
        <w:t>dále o:</w:t>
      </w:r>
    </w:p>
    <w:p w:rsidR="00492E9A" w:rsidRPr="00492E9A" w:rsidP="00492E9A">
      <w:pPr>
        <w:pStyle w:val="ListParagraph"/>
        <w:numPr>
          <w:ilvl w:val="0"/>
          <w:numId w:val="41"/>
        </w:numPr>
      </w:pPr>
      <w:r>
        <w:t>p</w:t>
      </w:r>
      <w:r w:rsidRPr="00492E9A">
        <w:t xml:space="preserve">ovinnost </w:t>
      </w:r>
      <w:r w:rsidR="001D0A37">
        <w:t xml:space="preserve">správce úvěru </w:t>
      </w:r>
      <w:r w:rsidR="006255C9">
        <w:t>zřídit</w:t>
      </w:r>
      <w:r w:rsidRPr="00492E9A">
        <w:t xml:space="preserve"> samostatný účet u úvěrové instituce, na který budou veškeré prostředky získané od dlužníků připisován</w:t>
      </w:r>
      <w:r w:rsidR="002A132E">
        <w:t>y</w:t>
      </w:r>
      <w:r w:rsidR="00C52634">
        <w:t>,</w:t>
      </w:r>
    </w:p>
    <w:p w:rsidR="0000681B" w:rsidP="005F29C5">
      <w:pPr>
        <w:pStyle w:val="ListParagraph"/>
        <w:numPr>
          <w:ilvl w:val="0"/>
          <w:numId w:val="41"/>
        </w:numPr>
      </w:pPr>
      <w:r>
        <w:t>p</w:t>
      </w:r>
      <w:r w:rsidRPr="00492E9A" w:rsidR="00492E9A">
        <w:t xml:space="preserve">ovinnost zajistit oddělení peněžních prostředků </w:t>
      </w:r>
      <w:r>
        <w:t>jednotlivých věřitelů tak</w:t>
      </w:r>
      <w:r w:rsidR="00767868">
        <w:t>,</w:t>
      </w:r>
      <w:r>
        <w:t xml:space="preserve"> aby nebyly dotčeny případným úpadkem některého z jiných věřitelů</w:t>
      </w:r>
      <w:r w:rsidR="000B37DF">
        <w:t>,</w:t>
      </w:r>
      <w:r w:rsidR="00C52634">
        <w:t xml:space="preserve"> a</w:t>
      </w:r>
    </w:p>
    <w:p w:rsidR="006505B7" w:rsidP="005F29C5">
      <w:pPr>
        <w:pStyle w:val="ListParagraph"/>
        <w:numPr>
          <w:ilvl w:val="0"/>
          <w:numId w:val="41"/>
        </w:numPr>
      </w:pPr>
      <w:r>
        <w:t xml:space="preserve">povinnost </w:t>
      </w:r>
      <w:r>
        <w:t>poskytnout dlužníkovi doklad o tom, že jeho dluh byl splacen, resp. částečně splacen.</w:t>
      </w:r>
    </w:p>
    <w:p w:rsidR="0000681B" w:rsidP="005A32F8">
      <w:r>
        <w:t xml:space="preserve">Dále má členský stát při využití této diskrece zajistit, že zaplacením splátky správci úvěru je </w:t>
      </w:r>
      <w:r w:rsidR="000B37DF">
        <w:t xml:space="preserve">podle </w:t>
      </w:r>
      <w:r>
        <w:t>vnitrostátní</w:t>
      </w:r>
      <w:r w:rsidR="000B37DF">
        <w:t>ho</w:t>
      </w:r>
      <w:r>
        <w:t xml:space="preserve"> práv</w:t>
      </w:r>
      <w:r w:rsidR="000B37DF">
        <w:t>a</w:t>
      </w:r>
      <w:r>
        <w:t xml:space="preserve"> považován dluh ve výši splátky </w:t>
      </w:r>
      <w:r w:rsidR="00C52634">
        <w:t>za</w:t>
      </w:r>
      <w:r>
        <w:t xml:space="preserve"> splacený.</w:t>
      </w:r>
    </w:p>
    <w:p w:rsidR="00F6054A" w:rsidP="00F6054A">
      <w:pPr>
        <w:autoSpaceDE w:val="0"/>
        <w:autoSpaceDN w:val="0"/>
        <w:adjustRightInd w:val="0"/>
        <w:spacing w:after="0" w:line="240" w:lineRule="auto"/>
      </w:pPr>
      <w:r>
        <w:t>Ministerstvo financ</w:t>
      </w:r>
      <w:r w:rsidR="00635ABD">
        <w:t>í</w:t>
      </w:r>
      <w:r>
        <w:t xml:space="preserve"> </w:t>
      </w:r>
      <w:r w:rsidR="0060774D">
        <w:t>vy</w:t>
      </w:r>
      <w:r w:rsidR="00D84E36">
        <w:t>u</w:t>
      </w:r>
      <w:r w:rsidR="0060774D">
        <w:t>žilo výjimky z</w:t>
      </w:r>
      <w:r w:rsidR="00C52634">
        <w:t>e směrnice</w:t>
      </w:r>
      <w:r w:rsidR="0060774D">
        <w:t> PSD II při</w:t>
      </w:r>
      <w:r w:rsidR="00C52634">
        <w:t xml:space="preserve"> její</w:t>
      </w:r>
      <w:r w:rsidR="0060774D">
        <w:t xml:space="preserve"> transpozici, a proto zvažuje </w:t>
      </w:r>
      <w:r>
        <w:t xml:space="preserve">možnost </w:t>
      </w:r>
      <w:r w:rsidR="006505B7">
        <w:t>tuto</w:t>
      </w:r>
      <w:r>
        <w:t xml:space="preserve"> diskrec</w:t>
      </w:r>
      <w:r w:rsidR="006505B7">
        <w:t>i</w:t>
      </w:r>
      <w:r w:rsidR="00A91D96">
        <w:t xml:space="preserve"> využít</w:t>
      </w:r>
      <w:r>
        <w:t xml:space="preserve"> a</w:t>
      </w:r>
      <w:r w:rsidR="00C40BDC">
        <w:t xml:space="preserve"> </w:t>
      </w:r>
      <w:r w:rsidR="00A91D96">
        <w:t xml:space="preserve">umožnit </w:t>
      </w:r>
      <w:r>
        <w:t>správcům</w:t>
      </w:r>
      <w:r w:rsidR="00A91D96">
        <w:t xml:space="preserve"> úvěrů</w:t>
      </w:r>
      <w:r>
        <w:t xml:space="preserve"> přijímat a držet peněžní prostředky od dlužníků podle čl. </w:t>
      </w:r>
      <w:r w:rsidR="001D0A37">
        <w:t>6</w:t>
      </w:r>
      <w:r>
        <w:t xml:space="preserve"> odst. 1 směrnice</w:t>
      </w:r>
      <w:r w:rsidRPr="00C52634" w:rsidR="00C52634">
        <w:t xml:space="preserve"> </w:t>
      </w:r>
      <w:r w:rsidR="00C52634">
        <w:t>NPL</w:t>
      </w:r>
      <w:r>
        <w:t>.</w:t>
      </w:r>
    </w:p>
    <w:p w:rsidR="000411D6" w:rsidP="00F6054A">
      <w:pPr>
        <w:autoSpaceDE w:val="0"/>
        <w:autoSpaceDN w:val="0"/>
        <w:adjustRightInd w:val="0"/>
        <w:spacing w:after="0" w:line="240" w:lineRule="auto"/>
      </w:pPr>
    </w:p>
    <w:p w:rsidR="000411D6" w:rsidRPr="005F29C5" w:rsidP="00F6054A">
      <w:pPr>
        <w:autoSpaceDE w:val="0"/>
        <w:autoSpaceDN w:val="0"/>
        <w:adjustRightInd w:val="0"/>
        <w:spacing w:after="0" w:line="240" w:lineRule="auto"/>
        <w:rPr>
          <w:b/>
        </w:rPr>
      </w:pPr>
      <w:r w:rsidRPr="005F29C5">
        <w:rPr>
          <w:b/>
        </w:rPr>
        <w:t>Konzultační otázka:</w:t>
      </w:r>
    </w:p>
    <w:p w:rsidR="00F6054A" w:rsidP="00F6054A">
      <w:pPr>
        <w:autoSpaceDE w:val="0"/>
        <w:autoSpaceDN w:val="0"/>
        <w:adjustRightInd w:val="0"/>
        <w:spacing w:after="0" w:line="240" w:lineRule="auto"/>
      </w:pPr>
    </w:p>
    <w:tbl>
      <w:tblPr>
        <w:tblStyle w:val="TableGrid"/>
        <w:tblW w:w="0" w:type="auto"/>
        <w:tblLook w:val="04A0"/>
      </w:tblPr>
      <w:tblGrid>
        <w:gridCol w:w="9213"/>
      </w:tblGrid>
      <w:tr w:rsidTr="00CC1964">
        <w:tblPrEx>
          <w:tblW w:w="0" w:type="auto"/>
          <w:tblLook w:val="04A0"/>
        </w:tblPrEx>
        <w:trPr>
          <w:trHeight w:val="256"/>
        </w:trPr>
        <w:tc>
          <w:tcPr>
            <w:tcW w:w="9213" w:type="dxa"/>
            <w:shd w:val="clear" w:color="auto" w:fill="D9D9D9" w:themeFill="background1" w:themeFillShade="D9"/>
          </w:tcPr>
          <w:p w:rsidR="00D57B13" w:rsidRPr="00F44A28" w:rsidP="0011639D">
            <w:pPr>
              <w:pStyle w:val="ListParagraph"/>
              <w:numPr>
                <w:ilvl w:val="0"/>
                <w:numId w:val="29"/>
              </w:numPr>
              <w:spacing w:before="120" w:line="276" w:lineRule="auto"/>
              <w:contextualSpacing w:val="0"/>
            </w:pPr>
            <w:r>
              <w:t>Měla by</w:t>
            </w:r>
            <w:r>
              <w:t xml:space="preserve"> Česká republika </w:t>
            </w:r>
            <w:r>
              <w:t xml:space="preserve">využít diskreci a </w:t>
            </w:r>
            <w:r>
              <w:t>umožn</w:t>
            </w:r>
            <w:r>
              <w:t xml:space="preserve">it </w:t>
            </w:r>
            <w:r>
              <w:t>správc</w:t>
            </w:r>
            <w:r>
              <w:t>i</w:t>
            </w:r>
            <w:r>
              <w:t xml:space="preserve"> úvěr</w:t>
            </w:r>
            <w:r>
              <w:t>u</w:t>
            </w:r>
            <w:r>
              <w:t xml:space="preserve"> přijímat a držet peněžní prostředky od dlužníků?</w:t>
            </w:r>
          </w:p>
        </w:tc>
      </w:tr>
      <w:tr w:rsidTr="00CC1964">
        <w:tblPrEx>
          <w:tblW w:w="0" w:type="auto"/>
          <w:tblLook w:val="04A0"/>
        </w:tblPrEx>
        <w:tc>
          <w:tcPr>
            <w:tcW w:w="9213" w:type="dxa"/>
            <w:shd w:val="clear" w:color="auto" w:fill="FFFFFF" w:themeFill="background1"/>
          </w:tcPr>
          <w:p w:rsidR="00D57B13" w:rsidP="00CC1964">
            <w:pPr>
              <w:spacing w:before="120" w:line="276" w:lineRule="auto"/>
            </w:pPr>
            <w:r w:rsidRPr="00F44A28">
              <w:t>Odpověď:</w:t>
            </w:r>
            <w:r w:rsidR="00630722">
              <w:t xml:space="preserve"> Ano/Ne.</w:t>
            </w:r>
          </w:p>
          <w:p w:rsidR="00630722" w:rsidRPr="00F44A28" w:rsidP="00CC1964">
            <w:pPr>
              <w:spacing w:before="120" w:line="276" w:lineRule="auto"/>
            </w:pPr>
            <w:r>
              <w:t>Odůvodnění</w:t>
            </w:r>
            <w:r>
              <w:t>:</w:t>
            </w:r>
          </w:p>
        </w:tc>
      </w:tr>
    </w:tbl>
    <w:p w:rsidR="00D57B13" w:rsidP="007E4430">
      <w:pPr>
        <w:rPr>
          <w:color w:val="FF0000"/>
        </w:rPr>
      </w:pPr>
    </w:p>
    <w:p w:rsidR="00C800DF" w:rsidP="00C800DF">
      <w:pPr>
        <w:pStyle w:val="Heading1"/>
      </w:pPr>
      <w:r w:rsidRPr="00C800DF">
        <w:t>Povinnosti obchodníků s</w:t>
      </w:r>
      <w:r>
        <w:t> </w:t>
      </w:r>
      <w:r w:rsidRPr="00C800DF">
        <w:t>úvěry</w:t>
      </w:r>
    </w:p>
    <w:p w:rsidR="00D84E36" w:rsidP="00E06515">
      <w:r>
        <w:t>Směrnice NPL předpokládá registraci obchodníků s</w:t>
      </w:r>
      <w:r w:rsidR="00CC1964">
        <w:t> </w:t>
      </w:r>
      <w:r>
        <w:t>úvěry</w:t>
      </w:r>
      <w:r w:rsidR="00CC1964">
        <w:t xml:space="preserve"> </w:t>
      </w:r>
      <w:r w:rsidR="00767868">
        <w:t xml:space="preserve">u </w:t>
      </w:r>
      <w:r w:rsidR="00CC1964">
        <w:t>orgánu dohledu</w:t>
      </w:r>
      <w:r>
        <w:t xml:space="preserve">. </w:t>
      </w:r>
      <w:r w:rsidRPr="00E44152" w:rsidR="00CC1964">
        <w:rPr>
          <w:b/>
        </w:rPr>
        <w:t>Obchodník s úvěry</w:t>
      </w:r>
      <w:r w:rsidR="00CC1964">
        <w:t xml:space="preserve"> je</w:t>
      </w:r>
      <w:r>
        <w:t xml:space="preserve"> osob</w:t>
      </w:r>
      <w:r w:rsidR="00CC1964">
        <w:t>a</w:t>
      </w:r>
      <w:r w:rsidR="0035145A">
        <w:t xml:space="preserve"> (FO i PO)</w:t>
      </w:r>
      <w:r>
        <w:t>, kt</w:t>
      </w:r>
      <w:r w:rsidR="00CC1964">
        <w:t>erá</w:t>
      </w:r>
      <w:r>
        <w:t xml:space="preserve"> v rámci svého podnikání </w:t>
      </w:r>
      <w:r w:rsidR="0035145A">
        <w:t>úplatně nabyde</w:t>
      </w:r>
      <w:r w:rsidR="00816157">
        <w:t xml:space="preserve"> </w:t>
      </w:r>
      <w:r>
        <w:t xml:space="preserve">od úvěrových institucí (bank, zahraničních bank a spořitelních a úvěrních družstev) </w:t>
      </w:r>
      <w:r w:rsidR="0035145A">
        <w:t>pohledávku z úvěrové smlouvy</w:t>
      </w:r>
      <w:r w:rsidR="001D0A37">
        <w:t xml:space="preserve"> v selhání</w:t>
      </w:r>
      <w:r w:rsidR="0035145A">
        <w:t xml:space="preserve"> nebo úvěrovou smlouvu</w:t>
      </w:r>
      <w:r w:rsidR="001D0A37">
        <w:t xml:space="preserve"> v selhání</w:t>
      </w:r>
      <w:r>
        <w:t xml:space="preserve">. </w:t>
      </w:r>
    </w:p>
    <w:p w:rsidR="00E06515" w:rsidP="00E06515">
      <w:r>
        <w:t xml:space="preserve">Podle čl. </w:t>
      </w:r>
      <w:r w:rsidR="000E3251">
        <w:t xml:space="preserve">17 </w:t>
      </w:r>
      <w:r w:rsidR="00CE36BF">
        <w:t xml:space="preserve">je </w:t>
      </w:r>
      <w:r>
        <w:t>obchodník s úvě</w:t>
      </w:r>
      <w:r w:rsidR="00C40BDC">
        <w:t xml:space="preserve">ry, který </w:t>
      </w:r>
      <w:r w:rsidRPr="003A2138" w:rsidR="00C40BDC">
        <w:rPr>
          <w:u w:val="single"/>
        </w:rPr>
        <w:t>má</w:t>
      </w:r>
      <w:r w:rsidR="00C40BDC">
        <w:t xml:space="preserve"> bydliště nebo sídlo v</w:t>
      </w:r>
      <w:r w:rsidR="0052796B">
        <w:t> </w:t>
      </w:r>
      <w:r w:rsidR="00C40BDC">
        <w:t>EU</w:t>
      </w:r>
      <w:r w:rsidR="0052796B">
        <w:t>,</w:t>
      </w:r>
      <w:r>
        <w:t xml:space="preserve"> povin</w:t>
      </w:r>
      <w:r w:rsidR="0052796B">
        <w:t>en</w:t>
      </w:r>
      <w:r>
        <w:t xml:space="preserve"> jmenovat </w:t>
      </w:r>
      <w:r w:rsidR="0052796B">
        <w:t xml:space="preserve">regulovanou </w:t>
      </w:r>
      <w:r>
        <w:t xml:space="preserve">osobu </w:t>
      </w:r>
      <w:r w:rsidR="0052796B">
        <w:t xml:space="preserve">na správu úvěrů, které si koupil. Touto osobou může být správce úvěru, úvěrová instituce nebo nebankovní poskytovatel spotřebitelských úvěrů. Tuto povinnost má pro správu všech úvěrů, které jsou </w:t>
      </w:r>
      <w:r w:rsidR="000B37DF">
        <w:t xml:space="preserve">sjednány </w:t>
      </w:r>
      <w:r w:rsidR="0052796B">
        <w:t>se spotřebitelem.</w:t>
      </w:r>
    </w:p>
    <w:p w:rsidR="00222DBE" w:rsidP="00C800DF">
      <w:r>
        <w:t>Obchodník s úvěry,</w:t>
      </w:r>
      <w:r w:rsidR="00B93D10">
        <w:t xml:space="preserve"> který</w:t>
      </w:r>
      <w:r>
        <w:t xml:space="preserve"> </w:t>
      </w:r>
      <w:r w:rsidRPr="00C40BDC">
        <w:rPr>
          <w:u w:val="single"/>
        </w:rPr>
        <w:t>nemá</w:t>
      </w:r>
      <w:r>
        <w:t xml:space="preserve"> bydliště ani sídlo v</w:t>
      </w:r>
      <w:r w:rsidR="00B93D10">
        <w:t> </w:t>
      </w:r>
      <w:r>
        <w:t>EU</w:t>
      </w:r>
      <w:r w:rsidR="00B93D10">
        <w:t>,</w:t>
      </w:r>
      <w:r>
        <w:t xml:space="preserve"> </w:t>
      </w:r>
      <w:r w:rsidR="000704B5">
        <w:t>si</w:t>
      </w:r>
      <w:r>
        <w:t xml:space="preserve"> </w:t>
      </w:r>
      <w:r w:rsidR="00767868">
        <w:t xml:space="preserve">musí </w:t>
      </w:r>
      <w:r>
        <w:t>pro výkon činností spojených s</w:t>
      </w:r>
      <w:r w:rsidR="000704B5">
        <w:t>e</w:t>
      </w:r>
      <w:r>
        <w:t> </w:t>
      </w:r>
      <w:r w:rsidR="000704B5">
        <w:t xml:space="preserve">správou </w:t>
      </w:r>
      <w:r>
        <w:t xml:space="preserve">úvěrů jmenovat zástupce podle čl. </w:t>
      </w:r>
      <w:r w:rsidR="000E3251">
        <w:t xml:space="preserve">19 </w:t>
      </w:r>
      <w:r w:rsidR="000704B5">
        <w:t>směrnice NPL, který má sídlo nebo bydliště na území EU</w:t>
      </w:r>
      <w:r>
        <w:t xml:space="preserve">. </w:t>
      </w:r>
      <w:r w:rsidR="00D46FC9">
        <w:t>Obchodník s úvěry nebo jeho zástupce poté musí na správu úvěru najmout regulovanou osobu (úvěrovou instituci, nebankovního poskytovatele spotřebitelských úvěrů nebo správce úvěru)</w:t>
      </w:r>
      <w:r w:rsidR="00767868">
        <w:t>,</w:t>
      </w:r>
      <w:r w:rsidR="00D46FC9">
        <w:t xml:space="preserve"> pokud byla úvěrov</w:t>
      </w:r>
      <w:r w:rsidR="00323E6F">
        <w:t>á</w:t>
      </w:r>
      <w:r w:rsidR="00D46FC9">
        <w:t xml:space="preserve"> smlouva, kterou vymáhá</w:t>
      </w:r>
      <w:r w:rsidR="00CC1964">
        <w:t>,</w:t>
      </w:r>
      <w:r w:rsidR="00D46FC9">
        <w:t xml:space="preserve"> uzavřena s</w:t>
      </w:r>
      <w:r>
        <w:t>:</w:t>
      </w:r>
    </w:p>
    <w:p w:rsidR="00222DBE" w:rsidP="00222DBE">
      <w:pPr>
        <w:pStyle w:val="ListParagraph"/>
        <w:numPr>
          <w:ilvl w:val="0"/>
          <w:numId w:val="45"/>
        </w:numPr>
      </w:pPr>
      <w:r>
        <w:t>fyzickou osobou</w:t>
      </w:r>
      <w:r w:rsidR="00D46FC9">
        <w:t xml:space="preserve"> (</w:t>
      </w:r>
      <w:r>
        <w:t>včetně spotřebitel</w:t>
      </w:r>
      <w:r w:rsidR="00CC1964">
        <w:t>e) nebo</w:t>
      </w:r>
    </w:p>
    <w:p w:rsidR="00222DBE" w:rsidP="00222DBE">
      <w:pPr>
        <w:pStyle w:val="ListParagraph"/>
        <w:numPr>
          <w:ilvl w:val="0"/>
          <w:numId w:val="45"/>
        </w:numPr>
      </w:pPr>
      <w:r>
        <w:t>s mikropodniky, malými a středními podniky podle čl. 2 doporučení Komise 2003/361/EC19</w:t>
      </w:r>
      <w:r w:rsidR="00D46FC9">
        <w:t xml:space="preserve"> (tzv. SME), kdy hranicí středního podniku je, že nemá více než 250 zaměstnanců a roční obrat nepřekročí 50 miliónů EUR</w:t>
      </w:r>
      <w:r>
        <w:t>.</w:t>
      </w:r>
    </w:p>
    <w:p w:rsidR="00FC6FE0" w:rsidRPr="00C06D46" w:rsidP="005F29C5">
      <w:pPr>
        <w:rPr>
          <w:b/>
          <w:i/>
        </w:rPr>
      </w:pPr>
      <w:r w:rsidRPr="00C06D46">
        <w:rPr>
          <w:b/>
        </w:rPr>
        <w:t>Směrnice umožňuje členským států</w:t>
      </w:r>
      <w:r w:rsidRPr="00C06D46" w:rsidR="00C40BDC">
        <w:rPr>
          <w:b/>
        </w:rPr>
        <w:t>m se od daných povinnost</w:t>
      </w:r>
      <w:r w:rsidRPr="00C06D46" w:rsidR="009E3FEF">
        <w:rPr>
          <w:b/>
        </w:rPr>
        <w:t>í</w:t>
      </w:r>
      <w:r w:rsidRPr="00C06D46" w:rsidR="00C40BDC">
        <w:rPr>
          <w:b/>
        </w:rPr>
        <w:t xml:space="preserve"> </w:t>
      </w:r>
      <w:r w:rsidRPr="00C06D46" w:rsidR="00767868">
        <w:rPr>
          <w:b/>
        </w:rPr>
        <w:t xml:space="preserve">uložených </w:t>
      </w:r>
      <w:r w:rsidRPr="00C06D46">
        <w:rPr>
          <w:b/>
        </w:rPr>
        <w:t xml:space="preserve">obchodníkům s úvěry odchýlit a </w:t>
      </w:r>
      <w:r w:rsidRPr="00C06D46" w:rsidR="00CC1964">
        <w:rPr>
          <w:b/>
        </w:rPr>
        <w:t xml:space="preserve">při </w:t>
      </w:r>
      <w:r w:rsidRPr="00C06D46">
        <w:rPr>
          <w:b/>
        </w:rPr>
        <w:t>využití diskrece tyto povinnosti rozšířit vedle smluv o úvěrech v selhání i na další typy úvěrových smluv</w:t>
      </w:r>
      <w:r w:rsidRPr="00C06D46" w:rsidR="00CC1964">
        <w:rPr>
          <w:b/>
        </w:rPr>
        <w:t xml:space="preserve"> či rozšířit povinnost najmout si profesionálního správce na širší portfolio úvěrů</w:t>
      </w:r>
      <w:r w:rsidRPr="00C06D46">
        <w:rPr>
          <w:b/>
        </w:rPr>
        <w:t xml:space="preserve">. </w:t>
      </w:r>
    </w:p>
    <w:p w:rsidR="000411D6" w:rsidP="00FC6FE0">
      <w:pPr>
        <w:spacing w:after="0"/>
      </w:pPr>
    </w:p>
    <w:p w:rsidR="000411D6" w:rsidRPr="005F29C5" w:rsidP="00FC6FE0">
      <w:pPr>
        <w:spacing w:after="0"/>
        <w:rPr>
          <w:b/>
        </w:rPr>
      </w:pPr>
      <w:r w:rsidRPr="005F29C5">
        <w:rPr>
          <w:b/>
        </w:rPr>
        <w:t>Konzultační otázka</w:t>
      </w:r>
    </w:p>
    <w:tbl>
      <w:tblPr>
        <w:tblStyle w:val="TableGrid"/>
        <w:tblW w:w="0" w:type="auto"/>
        <w:tblLook w:val="04A0"/>
      </w:tblPr>
      <w:tblGrid>
        <w:gridCol w:w="9213"/>
      </w:tblGrid>
      <w:tr w:rsidTr="00CC1964">
        <w:tblPrEx>
          <w:tblW w:w="0" w:type="auto"/>
          <w:tblLook w:val="04A0"/>
        </w:tblPrEx>
        <w:trPr>
          <w:trHeight w:val="256"/>
        </w:trPr>
        <w:tc>
          <w:tcPr>
            <w:tcW w:w="9213" w:type="dxa"/>
            <w:shd w:val="clear" w:color="auto" w:fill="D9D9D9" w:themeFill="background1" w:themeFillShade="D9"/>
          </w:tcPr>
          <w:p w:rsidR="000411D6" w:rsidRPr="00F44A28" w:rsidP="00F72852">
            <w:pPr>
              <w:pStyle w:val="ListParagraph"/>
              <w:numPr>
                <w:ilvl w:val="0"/>
                <w:numId w:val="29"/>
              </w:numPr>
              <w:spacing w:before="120" w:line="276" w:lineRule="auto"/>
              <w:contextualSpacing w:val="0"/>
            </w:pPr>
            <w:r>
              <w:t>Existují důvody rozšířit povinnosti obchodníka s úvěry najmout si správce úvěru i na jiné bankovní úvěry než popsané výše</w:t>
            </w:r>
            <w:r>
              <w:t xml:space="preserve">? </w:t>
            </w:r>
            <w:r w:rsidR="00FF1CA8">
              <w:t>Důvody prosím případně uveďte.</w:t>
            </w:r>
          </w:p>
        </w:tc>
      </w:tr>
      <w:tr w:rsidTr="00CC1964">
        <w:tblPrEx>
          <w:tblW w:w="0" w:type="auto"/>
          <w:tblLook w:val="04A0"/>
        </w:tblPrEx>
        <w:tc>
          <w:tcPr>
            <w:tcW w:w="9213" w:type="dxa"/>
            <w:shd w:val="clear" w:color="auto" w:fill="FFFFFF" w:themeFill="background1"/>
          </w:tcPr>
          <w:p w:rsidR="000411D6" w:rsidRPr="00F44A28" w:rsidP="00CC1964">
            <w:pPr>
              <w:spacing w:before="120" w:line="276" w:lineRule="auto"/>
            </w:pPr>
            <w:r w:rsidRPr="00F44A28">
              <w:t>Odpověď:</w:t>
            </w:r>
          </w:p>
        </w:tc>
      </w:tr>
    </w:tbl>
    <w:p w:rsidR="000411D6" w:rsidRPr="00C738C0" w:rsidP="00FC6FE0">
      <w:pPr>
        <w:spacing w:after="0"/>
      </w:pPr>
    </w:p>
    <w:p w:rsidR="00FC6FE0" w:rsidRPr="00F72852" w:rsidP="00FC6FE0">
      <w:pPr>
        <w:spacing w:after="0"/>
        <w:rPr>
          <w:b/>
        </w:rPr>
      </w:pPr>
      <w:r w:rsidRPr="00F72852">
        <w:rPr>
          <w:b/>
        </w:rPr>
        <w:t>Správa úvěru poskytovaná fyzickou osobu</w:t>
      </w:r>
    </w:p>
    <w:p w:rsidR="00F72852">
      <w:pPr>
        <w:spacing w:after="0"/>
      </w:pPr>
      <w:r w:rsidRPr="000E3251">
        <w:t>Směrnice</w:t>
      </w:r>
      <w:r w:rsidRPr="000E3251" w:rsidR="000411D6">
        <w:t xml:space="preserve"> NPL</w:t>
      </w:r>
      <w:r w:rsidRPr="000E3251">
        <w:t xml:space="preserve"> dále v odstavci </w:t>
      </w:r>
      <w:r w:rsidRPr="000E3251" w:rsidR="000E3251">
        <w:t xml:space="preserve">4 </w:t>
      </w:r>
      <w:r w:rsidRPr="000E3251" w:rsidR="000411D6">
        <w:t xml:space="preserve">článku </w:t>
      </w:r>
      <w:r w:rsidRPr="000E3251" w:rsidR="000E3251">
        <w:t xml:space="preserve">17 </w:t>
      </w:r>
      <w:r w:rsidRPr="000E3251">
        <w:t>dává člens</w:t>
      </w:r>
      <w:r w:rsidRPr="000E3251" w:rsidR="00C40BDC">
        <w:t xml:space="preserve">kým státům možnost, </w:t>
      </w:r>
      <w:r w:rsidRPr="000E3251" w:rsidR="009E3FEF">
        <w:t>povolit</w:t>
      </w:r>
      <w:r w:rsidRPr="006C18D4">
        <w:t xml:space="preserve"> obchodníkům s úvěry najmout si za účelem </w:t>
      </w:r>
      <w:r w:rsidRPr="006C18D4" w:rsidR="006C18D4">
        <w:t>správy</w:t>
      </w:r>
      <w:r w:rsidRPr="006C18D4">
        <w:t xml:space="preserve"> úvěrových smluv</w:t>
      </w:r>
      <w:r w:rsidR="00C40BDC">
        <w:t xml:space="preserve">, které </w:t>
      </w:r>
      <w:r w:rsidR="0035145A">
        <w:t>úplatně nabyl</w:t>
      </w:r>
      <w:r w:rsidR="00900F39">
        <w:t>i</w:t>
      </w:r>
      <w:r w:rsidR="0011639D">
        <w:t>,</w:t>
      </w:r>
      <w:r w:rsidR="00C40BDC">
        <w:t xml:space="preserve"> </w:t>
      </w:r>
      <w:r w:rsidRPr="006C18D4">
        <w:t xml:space="preserve">fyzické osoby. </w:t>
      </w:r>
      <w:r w:rsidR="0011639D">
        <w:t xml:space="preserve">Tato diskrece byla vložena i </w:t>
      </w:r>
      <w:r w:rsidR="002F0D28">
        <w:t>z důvodu</w:t>
      </w:r>
      <w:r w:rsidR="0011639D">
        <w:t xml:space="preserve"> kompenzac</w:t>
      </w:r>
      <w:r w:rsidR="002F0D28">
        <w:t>e</w:t>
      </w:r>
      <w:r w:rsidR="0011639D">
        <w:t xml:space="preserve"> situace, kdy správcem úvěru může být pouze právnická osoba. </w:t>
      </w:r>
      <w:r w:rsidR="002F0D28">
        <w:t>Fyzické</w:t>
      </w:r>
      <w:r w:rsidRPr="006C18D4">
        <w:t xml:space="preserve"> osob</w:t>
      </w:r>
      <w:r w:rsidR="009E3FEF">
        <w:t>y</w:t>
      </w:r>
      <w:r w:rsidRPr="006C18D4">
        <w:t xml:space="preserve"> mají podléhat vnitrostátním předpisům a dohledu. Fyzické osoby nebudou požívat výhod volného pohybu služeb mezi členskými státy podle NPL směrnice</w:t>
      </w:r>
      <w:r w:rsidR="0011639D">
        <w:t>.</w:t>
      </w:r>
    </w:p>
    <w:p w:rsidR="00F72852">
      <w:pPr>
        <w:spacing w:after="0"/>
      </w:pPr>
    </w:p>
    <w:p w:rsidR="00F72852" w:rsidRPr="00900F39">
      <w:pPr>
        <w:spacing w:after="0"/>
      </w:pPr>
      <w:r>
        <w:t xml:space="preserve">Diskrece umožňuje členským státům zavést </w:t>
      </w:r>
      <w:r w:rsidR="00DA34EE">
        <w:t>pro fyzické osoby podmínky</w:t>
      </w:r>
      <w:r>
        <w:t xml:space="preserve">, za jakých mohou poskytovat správu bankovních úvěrů. Je teoreticky možné, že by se na ně nevztahovaly žádné povinnosti, případně že by </w:t>
      </w:r>
      <w:r w:rsidR="00E93737">
        <w:t>existovala</w:t>
      </w:r>
      <w:r>
        <w:t xml:space="preserve"> odlišná pravidla pro fyzické a právnické osoby, které musí dodržovat při správ</w:t>
      </w:r>
      <w:r w:rsidR="00900F39">
        <w:t>ě</w:t>
      </w:r>
      <w:r>
        <w:t xml:space="preserve"> </w:t>
      </w:r>
      <w:r w:rsidR="00900F39">
        <w:t xml:space="preserve">bankovního </w:t>
      </w:r>
      <w:r>
        <w:t>úvěru.</w:t>
      </w:r>
      <w:r w:rsidR="00DA34EE">
        <w:t xml:space="preserve"> Ovšem fyzická osoba by nikdy nemohla získat tzv. pasport, tedy poskytovat služby v jiném členském státě</w:t>
      </w:r>
      <w:r w:rsidR="00E93737">
        <w:t xml:space="preserve"> na základě povolení uděleného v ČR</w:t>
      </w:r>
      <w:r w:rsidR="00DA34EE">
        <w:t>.</w:t>
      </w:r>
    </w:p>
    <w:p w:rsidR="006C18D4" w:rsidP="00FC6FE0">
      <w:pPr>
        <w:spacing w:after="0"/>
        <w:rPr>
          <w:i/>
        </w:rPr>
      </w:pPr>
    </w:p>
    <w:p w:rsidR="0011639D" w:rsidRPr="00C800DF" w:rsidP="0011639D">
      <w:pPr>
        <w:rPr>
          <w:b/>
        </w:rPr>
      </w:pPr>
      <w:r w:rsidRPr="00F44A28">
        <w:rPr>
          <w:b/>
        </w:rPr>
        <w:t>Konzultační otázky</w:t>
      </w:r>
    </w:p>
    <w:tbl>
      <w:tblPr>
        <w:tblStyle w:val="TableGrid"/>
        <w:tblW w:w="0" w:type="auto"/>
        <w:tblLook w:val="04A0"/>
      </w:tblPr>
      <w:tblGrid>
        <w:gridCol w:w="9063"/>
      </w:tblGrid>
      <w:tr w:rsidTr="005F29C5">
        <w:tblPrEx>
          <w:tblW w:w="0" w:type="auto"/>
          <w:tblLook w:val="04A0"/>
        </w:tblPrEx>
        <w:trPr>
          <w:trHeight w:val="256"/>
        </w:trPr>
        <w:tc>
          <w:tcPr>
            <w:tcW w:w="9063" w:type="dxa"/>
            <w:shd w:val="clear" w:color="auto" w:fill="D9D9D9" w:themeFill="background1" w:themeFillShade="D9"/>
          </w:tcPr>
          <w:p w:rsidR="00542020" w:rsidP="007F42BC">
            <w:pPr>
              <w:pStyle w:val="ListParagraph"/>
              <w:numPr>
                <w:ilvl w:val="0"/>
                <w:numId w:val="29"/>
              </w:numPr>
              <w:spacing w:before="120" w:line="276" w:lineRule="auto"/>
              <w:contextualSpacing w:val="0"/>
            </w:pPr>
            <w:r>
              <w:t>Měla by Česká republika využít diskrece spočívající v umožnění obchodníkům s úvěry najmout si pro účely správy úvěrových smluv fyzick</w:t>
            </w:r>
            <w:r w:rsidR="00767868">
              <w:t>ou</w:t>
            </w:r>
            <w:r>
              <w:t xml:space="preserve"> osob</w:t>
            </w:r>
            <w:r w:rsidR="00767868">
              <w:t>u</w:t>
            </w:r>
            <w:r w:rsidR="002B4E7C">
              <w:t>, která nebude</w:t>
            </w:r>
            <w:r>
              <w:t xml:space="preserve"> </w:t>
            </w:r>
            <w:r w:rsidR="002B4E7C">
              <w:t>mít oprávnění pro správce úvěru</w:t>
            </w:r>
            <w:r>
              <w:t>?</w:t>
            </w:r>
          </w:p>
          <w:p w:rsidR="0011639D" w:rsidP="007F42BC">
            <w:pPr>
              <w:pStyle w:val="ListParagraph"/>
              <w:numPr>
                <w:ilvl w:val="0"/>
                <w:numId w:val="29"/>
              </w:numPr>
              <w:spacing w:before="120" w:line="276" w:lineRule="auto"/>
              <w:contextualSpacing w:val="0"/>
            </w:pPr>
            <w:r>
              <w:t xml:space="preserve">Na základě jakého oprávnění by měla být tato fyzická osoba </w:t>
            </w:r>
            <w:r w:rsidR="00900F39">
              <w:t>činná a měl</w:t>
            </w:r>
            <w:r w:rsidR="00090997">
              <w:t xml:space="preserve"> by se na ni vztahovat dohled České národní banky</w:t>
            </w:r>
            <w:r w:rsidRPr="00F44A28">
              <w:t>?</w:t>
            </w:r>
          </w:p>
          <w:p w:rsidR="00E557B6" w:rsidRPr="00F44A28" w:rsidP="00900F39">
            <w:pPr>
              <w:pStyle w:val="ListParagraph"/>
              <w:numPr>
                <w:ilvl w:val="0"/>
                <w:numId w:val="29"/>
              </w:numPr>
              <w:spacing w:before="120" w:line="276" w:lineRule="auto"/>
              <w:contextualSpacing w:val="0"/>
            </w:pPr>
            <w:r>
              <w:t>Jaké povinnosti</w:t>
            </w:r>
            <w:r>
              <w:t>, kter</w:t>
            </w:r>
            <w:r>
              <w:t>é bude mít správce úvěru, by měly dopadat i na zmíněné fyzické osoby?</w:t>
            </w:r>
          </w:p>
        </w:tc>
      </w:tr>
      <w:tr w:rsidTr="005F29C5">
        <w:tblPrEx>
          <w:tblW w:w="0" w:type="auto"/>
          <w:tblLook w:val="04A0"/>
        </w:tblPrEx>
        <w:tc>
          <w:tcPr>
            <w:tcW w:w="9063" w:type="dxa"/>
            <w:shd w:val="clear" w:color="auto" w:fill="FFFFFF" w:themeFill="background1"/>
          </w:tcPr>
          <w:p w:rsidR="0011639D" w:rsidRPr="00F44A28" w:rsidP="00CC1964">
            <w:pPr>
              <w:spacing w:before="120" w:line="276" w:lineRule="auto"/>
            </w:pPr>
            <w:r w:rsidRPr="00F44A28">
              <w:t>Odpově</w:t>
            </w:r>
            <w:r w:rsidR="00900F39">
              <w:t>di</w:t>
            </w:r>
            <w:r w:rsidRPr="00F44A28">
              <w:t>:</w:t>
            </w:r>
          </w:p>
        </w:tc>
      </w:tr>
    </w:tbl>
    <w:p w:rsidR="00FC6FE0" w:rsidP="00FC6FE0">
      <w:pPr>
        <w:spacing w:after="0"/>
        <w:rPr>
          <w:i/>
        </w:rPr>
      </w:pPr>
    </w:p>
    <w:p w:rsidR="00090997" w:rsidRPr="00900F39">
      <w:pPr>
        <w:spacing w:after="0"/>
        <w:rPr>
          <w:b/>
        </w:rPr>
      </w:pPr>
      <w:r w:rsidRPr="00900F39">
        <w:rPr>
          <w:b/>
        </w:rPr>
        <w:t>Přenesení povinností z obchodníka s úvěry na správce úvěru</w:t>
      </w:r>
    </w:p>
    <w:p w:rsidR="00FC6FE0">
      <w:pPr>
        <w:spacing w:after="0"/>
        <w:rPr>
          <w:i/>
        </w:rPr>
      </w:pPr>
      <w:r w:rsidRPr="005F0DC6">
        <w:t xml:space="preserve">Dále směrnice </w:t>
      </w:r>
      <w:r w:rsidRPr="005F0DC6" w:rsidR="00CB7A1E">
        <w:t>umožňuje</w:t>
      </w:r>
      <w:r w:rsidRPr="005F0DC6">
        <w:t xml:space="preserve">, aby jmenovaný </w:t>
      </w:r>
      <w:r w:rsidRPr="005F0DC6" w:rsidR="00D21D7C">
        <w:t>správce úvěru</w:t>
      </w:r>
      <w:r w:rsidRPr="005F0DC6" w:rsidR="002F0D28">
        <w:t xml:space="preserve">, </w:t>
      </w:r>
      <w:r w:rsidRPr="005F0DC6" w:rsidR="00D21D7C">
        <w:t xml:space="preserve">úvěrová instituce </w:t>
      </w:r>
      <w:r w:rsidRPr="005F0DC6" w:rsidR="002F0D28">
        <w:t>nebo</w:t>
      </w:r>
      <w:r w:rsidRPr="005F0DC6" w:rsidR="00D21D7C">
        <w:t xml:space="preserve"> nebankovní poskytovatel spotřebitelského úvěru</w:t>
      </w:r>
      <w:r w:rsidRPr="005F0DC6" w:rsidR="00665202">
        <w:t xml:space="preserve"> </w:t>
      </w:r>
      <w:r w:rsidRPr="005F0DC6" w:rsidR="00F05AAE">
        <w:t>plnili</w:t>
      </w:r>
      <w:r w:rsidRPr="005F0DC6">
        <w:t xml:space="preserve"> </w:t>
      </w:r>
      <w:r w:rsidRPr="005F0DC6" w:rsidR="00665202">
        <w:t xml:space="preserve">jménem </w:t>
      </w:r>
      <w:r w:rsidRPr="005F0DC6" w:rsidR="00D21D7C">
        <w:t xml:space="preserve">obchodníka s </w:t>
      </w:r>
      <w:r w:rsidRPr="005F0DC6" w:rsidR="00665202">
        <w:t>úvěr</w:t>
      </w:r>
      <w:r w:rsidRPr="005F0DC6" w:rsidR="00D21D7C">
        <w:t>y</w:t>
      </w:r>
      <w:r w:rsidRPr="005F0DC6" w:rsidR="00665202">
        <w:t xml:space="preserve"> </w:t>
      </w:r>
      <w:r w:rsidRPr="005F0DC6">
        <w:t>povinnosti</w:t>
      </w:r>
      <w:r w:rsidRPr="005F0DC6" w:rsidR="005F0DC6">
        <w:t xml:space="preserve"> dan</w:t>
      </w:r>
      <w:r w:rsidR="00FB5D70">
        <w:t>é</w:t>
      </w:r>
      <w:r w:rsidRPr="005F0DC6" w:rsidR="005F0DC6">
        <w:t xml:space="preserve"> vnitrostátním právem</w:t>
      </w:r>
      <w:r w:rsidR="00090997">
        <w:t xml:space="preserve"> a umožňuje členským státům přenést plnění této povinnosti z obchodníka s úvěry na správce úvěru (resp. další subjekty, které mohou poskytovat správu úvěru).</w:t>
      </w:r>
      <w:r>
        <w:t xml:space="preserve"> </w:t>
      </w:r>
    </w:p>
    <w:p w:rsidR="00FC6FE0" w:rsidRPr="00FC6FE0" w:rsidP="00FC6FE0">
      <w:pPr>
        <w:spacing w:after="0"/>
        <w:rPr>
          <w:i/>
        </w:rPr>
      </w:pPr>
    </w:p>
    <w:p w:rsidR="00C800DF" w:rsidRPr="00C800DF" w:rsidP="00C800DF">
      <w:pPr>
        <w:rPr>
          <w:b/>
        </w:rPr>
      </w:pPr>
      <w:r w:rsidRPr="00F44A28">
        <w:rPr>
          <w:b/>
        </w:rPr>
        <w:t xml:space="preserve">Konzultační </w:t>
      </w:r>
      <w:r w:rsidRPr="00F44A28" w:rsidR="001F548B">
        <w:rPr>
          <w:b/>
        </w:rPr>
        <w:t>otázk</w:t>
      </w:r>
      <w:r w:rsidR="001F548B">
        <w:rPr>
          <w:b/>
        </w:rPr>
        <w:t>a</w:t>
      </w:r>
    </w:p>
    <w:tbl>
      <w:tblPr>
        <w:tblStyle w:val="TableGrid"/>
        <w:tblW w:w="0" w:type="auto"/>
        <w:tblLook w:val="04A0"/>
      </w:tblPr>
      <w:tblGrid>
        <w:gridCol w:w="9213"/>
      </w:tblGrid>
      <w:tr w:rsidTr="00CC1964">
        <w:tblPrEx>
          <w:tblW w:w="0" w:type="auto"/>
          <w:tblLook w:val="04A0"/>
        </w:tblPrEx>
        <w:trPr>
          <w:trHeight w:val="256"/>
        </w:trPr>
        <w:tc>
          <w:tcPr>
            <w:tcW w:w="9213" w:type="dxa"/>
            <w:shd w:val="clear" w:color="auto" w:fill="D9D9D9" w:themeFill="background1" w:themeFillShade="D9"/>
          </w:tcPr>
          <w:p w:rsidR="00D57B13" w:rsidRPr="00F44A28" w:rsidP="00090997">
            <w:pPr>
              <w:pStyle w:val="ListParagraph"/>
              <w:numPr>
                <w:ilvl w:val="0"/>
                <w:numId w:val="29"/>
              </w:numPr>
              <w:spacing w:before="120" w:line="276" w:lineRule="auto"/>
              <w:contextualSpacing w:val="0"/>
            </w:pPr>
            <w:r>
              <w:t xml:space="preserve">Jaké povinnosti </w:t>
            </w:r>
            <w:r w:rsidR="007F42BC">
              <w:t xml:space="preserve">dané vnitrostátním právem </w:t>
            </w:r>
            <w:r>
              <w:t>by dle Vašeho názor mělo smysl přenést z obchodníka s úvěry na správce úvěru (nebo úvěrovou instituci či nebankovního poskytovatele spotřebitelského úvěru)?</w:t>
            </w:r>
          </w:p>
        </w:tc>
      </w:tr>
      <w:tr w:rsidTr="00CC1964">
        <w:tblPrEx>
          <w:tblW w:w="0" w:type="auto"/>
          <w:tblLook w:val="04A0"/>
        </w:tblPrEx>
        <w:tc>
          <w:tcPr>
            <w:tcW w:w="9213" w:type="dxa"/>
            <w:shd w:val="clear" w:color="auto" w:fill="FFFFFF" w:themeFill="background1"/>
          </w:tcPr>
          <w:p w:rsidR="00D57B13" w:rsidRPr="00F44A28" w:rsidP="00CC1964">
            <w:pPr>
              <w:spacing w:before="120" w:line="276" w:lineRule="auto"/>
            </w:pPr>
            <w:r w:rsidRPr="00F44A28">
              <w:t>Odpověď:</w:t>
            </w:r>
          </w:p>
        </w:tc>
      </w:tr>
    </w:tbl>
    <w:p w:rsidR="00D57B13" w:rsidP="007E4430">
      <w:pPr>
        <w:rPr>
          <w:color w:val="FF0000"/>
        </w:rPr>
      </w:pPr>
    </w:p>
    <w:p w:rsidR="00F05AAE" w:rsidP="007E4430">
      <w:pPr>
        <w:rPr>
          <w:color w:val="FF0000"/>
        </w:rPr>
      </w:pPr>
    </w:p>
    <w:p w:rsidR="00C800DF" w:rsidP="00C800DF">
      <w:pPr>
        <w:pStyle w:val="Heading1"/>
      </w:pPr>
      <w:r w:rsidRPr="00C800DF">
        <w:t xml:space="preserve">Spotřebitelské úvěry </w:t>
      </w:r>
    </w:p>
    <w:p w:rsidR="001A1AE4" w:rsidP="00C800DF">
      <w:r>
        <w:t>Legislativních změn se vlive</w:t>
      </w:r>
      <w:r w:rsidR="00873063">
        <w:t>m</w:t>
      </w:r>
      <w:r>
        <w:t xml:space="preserve"> přijaté směrnice </w:t>
      </w:r>
      <w:r w:rsidR="005A32F8">
        <w:t xml:space="preserve">NPL </w:t>
      </w:r>
      <w:r>
        <w:t xml:space="preserve">dočká také úprava spotřebitelského úvěru. </w:t>
      </w:r>
      <w:r w:rsidR="0019369E">
        <w:t>Směrnicí NPL</w:t>
      </w:r>
      <w:r w:rsidR="00152624">
        <w:t xml:space="preserve"> jsou měněny směrnice Evropského parlamentu a Rady 2008/48/ES ze dne 23. dubna 2008 o smlouvách o spotřebitelském úvěru a o zrušení směrnice Rady 87/102/EHS (dále jen „směrnice CCD“) a</w:t>
      </w:r>
      <w:r w:rsidR="008D6E37">
        <w:t xml:space="preserve"> směrnic</w:t>
      </w:r>
      <w:r w:rsidR="00152624">
        <w:t>e</w:t>
      </w:r>
      <w:r w:rsidR="008D6E37">
        <w:t xml:space="preserve"> Evropského parlamentu a Rady 2014/17/ЕU ze dne 4. února 2014 o smlouvách o spotřebitelském úvěru na nemovitosti určené k bydlení a o změně směrnic 2008/48/ES a 2013/36/EU a nařízení (EU) č. 1093/2010 (dále jen „směrnice MCD“).</w:t>
      </w:r>
    </w:p>
    <w:p w:rsidR="002D35F2" w:rsidP="00C800DF">
      <w:r>
        <w:t xml:space="preserve">Nová úprava </w:t>
      </w:r>
      <w:r w:rsidR="001A1AE4">
        <w:t>v čl. 16a odst. 1 CCD a</w:t>
      </w:r>
      <w:r>
        <w:t xml:space="preserve"> </w:t>
      </w:r>
      <w:r w:rsidR="00020643">
        <w:t xml:space="preserve">čl. </w:t>
      </w:r>
      <w:r>
        <w:t>28</w:t>
      </w:r>
      <w:r w:rsidR="001A1AE4">
        <w:t xml:space="preserve"> odst. 1</w:t>
      </w:r>
      <w:r>
        <w:t xml:space="preserve"> </w:t>
      </w:r>
      <w:r w:rsidR="001A1AE4">
        <w:t>MCD</w:t>
      </w:r>
      <w:r>
        <w:t xml:space="preserve"> vyžaduj</w:t>
      </w:r>
      <w:r w:rsidR="00D914B7">
        <w:t>e</w:t>
      </w:r>
      <w:r>
        <w:t xml:space="preserve">, aby věřitelé </w:t>
      </w:r>
      <w:r w:rsidR="001A1AE4">
        <w:t xml:space="preserve">měli zásady </w:t>
      </w:r>
      <w:r>
        <w:t>a</w:t>
      </w:r>
      <w:r w:rsidR="000D71FD">
        <w:t xml:space="preserve"> </w:t>
      </w:r>
      <w:r>
        <w:t xml:space="preserve">postupy na vyhodnocování </w:t>
      </w:r>
      <w:r w:rsidR="00712606">
        <w:t>situací</w:t>
      </w:r>
      <w:r w:rsidR="008C233A">
        <w:t xml:space="preserve"> vhodných ke </w:t>
      </w:r>
      <w:r w:rsidR="00DB48E5">
        <w:t>shovívav</w:t>
      </w:r>
      <w:r w:rsidR="008C233A">
        <w:t>ému postupu</w:t>
      </w:r>
      <w:r w:rsidR="000D71FD">
        <w:t xml:space="preserve"> </w:t>
      </w:r>
      <w:r w:rsidR="00712606">
        <w:t xml:space="preserve">vůči </w:t>
      </w:r>
      <w:r w:rsidR="000D71FD">
        <w:t xml:space="preserve">dlužníkovi, který nesplácí úvěr. </w:t>
      </w:r>
      <w:r w:rsidR="0076558E">
        <w:t xml:space="preserve">Opatření </w:t>
      </w:r>
      <w:r w:rsidR="00712606">
        <w:t xml:space="preserve">shovívavosti předvídaná směrnicí </w:t>
      </w:r>
      <w:r w:rsidR="000D71FD">
        <w:t xml:space="preserve">mohou </w:t>
      </w:r>
      <w:r w:rsidR="00767868">
        <w:t>spočívat v</w:t>
      </w:r>
      <w:r w:rsidR="0076558E">
        <w:t>:</w:t>
      </w:r>
    </w:p>
    <w:p w:rsidR="0076558E" w:rsidP="0076558E">
      <w:pPr>
        <w:pStyle w:val="ListParagraph"/>
        <w:numPr>
          <w:ilvl w:val="0"/>
          <w:numId w:val="45"/>
        </w:numPr>
      </w:pPr>
      <w:r>
        <w:t>ú</w:t>
      </w:r>
      <w:r>
        <w:t xml:space="preserve">plném nebo částečném refinancování </w:t>
      </w:r>
      <w:r w:rsidR="00DB48E5">
        <w:t>úvěru</w:t>
      </w:r>
      <w:r>
        <w:t>,</w:t>
      </w:r>
    </w:p>
    <w:p w:rsidR="0076558E" w:rsidP="0076558E">
      <w:pPr>
        <w:pStyle w:val="ListParagraph"/>
        <w:numPr>
          <w:ilvl w:val="0"/>
          <w:numId w:val="45"/>
        </w:numPr>
      </w:pPr>
      <w:r>
        <w:t>z</w:t>
      </w:r>
      <w:r>
        <w:t xml:space="preserve">měně stávajících podmínek </w:t>
      </w:r>
      <w:r w:rsidR="00DB48E5">
        <w:t>úvěru</w:t>
      </w:r>
      <w:r>
        <w:t>, které zahrnují například:</w:t>
      </w:r>
    </w:p>
    <w:p w:rsidR="0076558E" w:rsidP="0076558E">
      <w:pPr>
        <w:pStyle w:val="ListParagraph"/>
        <w:numPr>
          <w:ilvl w:val="1"/>
          <w:numId w:val="45"/>
        </w:numPr>
      </w:pPr>
      <w:r>
        <w:t>p</w:t>
      </w:r>
      <w:r>
        <w:t xml:space="preserve">rodloužení doby </w:t>
      </w:r>
      <w:r w:rsidR="00DB48E5">
        <w:t>splácení úvěru</w:t>
      </w:r>
      <w:r>
        <w:t>,</w:t>
      </w:r>
    </w:p>
    <w:p w:rsidR="0076558E" w:rsidP="0076558E">
      <w:pPr>
        <w:pStyle w:val="ListParagraph"/>
        <w:numPr>
          <w:ilvl w:val="1"/>
          <w:numId w:val="45"/>
        </w:numPr>
      </w:pPr>
      <w:r>
        <w:t>z</w:t>
      </w:r>
      <w:r>
        <w:t>měn</w:t>
      </w:r>
      <w:r w:rsidR="00D914B7">
        <w:t>u</w:t>
      </w:r>
      <w:r>
        <w:t xml:space="preserve"> </w:t>
      </w:r>
      <w:r w:rsidR="00DB48E5">
        <w:t>druhu úvěru</w:t>
      </w:r>
      <w:r>
        <w:t>,</w:t>
      </w:r>
    </w:p>
    <w:p w:rsidR="0076558E" w:rsidP="0076558E">
      <w:pPr>
        <w:pStyle w:val="ListParagraph"/>
        <w:numPr>
          <w:ilvl w:val="1"/>
          <w:numId w:val="45"/>
        </w:numPr>
      </w:pPr>
      <w:r>
        <w:t>o</w:t>
      </w:r>
      <w:r>
        <w:t xml:space="preserve">dložení </w:t>
      </w:r>
      <w:r w:rsidR="00DB48E5">
        <w:t>úhrady celé splátky nebo její části na určitou dobu</w:t>
      </w:r>
      <w:r w:rsidR="008740ED">
        <w:t>,</w:t>
      </w:r>
    </w:p>
    <w:p w:rsidR="0076558E" w:rsidP="0076558E">
      <w:pPr>
        <w:pStyle w:val="ListParagraph"/>
        <w:numPr>
          <w:ilvl w:val="1"/>
          <w:numId w:val="45"/>
        </w:numPr>
      </w:pPr>
      <w:r>
        <w:t>z</w:t>
      </w:r>
      <w:r>
        <w:t>měn</w:t>
      </w:r>
      <w:r w:rsidR="00D914B7">
        <w:t>u</w:t>
      </w:r>
      <w:r>
        <w:t xml:space="preserve"> úrokové sazby</w:t>
      </w:r>
      <w:r>
        <w:t>,</w:t>
      </w:r>
    </w:p>
    <w:p w:rsidR="0076558E" w:rsidP="0076558E">
      <w:pPr>
        <w:pStyle w:val="ListParagraph"/>
        <w:numPr>
          <w:ilvl w:val="1"/>
          <w:numId w:val="45"/>
        </w:numPr>
      </w:pPr>
      <w:r>
        <w:t>nabíd</w:t>
      </w:r>
      <w:r w:rsidR="00D914B7">
        <w:t>ku</w:t>
      </w:r>
      <w:r>
        <w:t xml:space="preserve"> dočasného přerušen</w:t>
      </w:r>
      <w:r w:rsidR="001A2596">
        <w:t>í</w:t>
      </w:r>
      <w:r>
        <w:t xml:space="preserve"> splácení úvěru (splátkové prázdniny)</w:t>
      </w:r>
      <w:r w:rsidR="008740ED">
        <w:t>,</w:t>
      </w:r>
      <w:r>
        <w:t xml:space="preserve"> </w:t>
      </w:r>
    </w:p>
    <w:p w:rsidR="0076558E" w:rsidP="0076558E">
      <w:pPr>
        <w:pStyle w:val="ListParagraph"/>
        <w:numPr>
          <w:ilvl w:val="1"/>
          <w:numId w:val="45"/>
        </w:numPr>
      </w:pPr>
      <w:r>
        <w:t>v</w:t>
      </w:r>
      <w:r>
        <w:t>yužití částečných splátek</w:t>
      </w:r>
      <w:r>
        <w:t>,</w:t>
      </w:r>
    </w:p>
    <w:p w:rsidR="0076558E" w:rsidP="0076558E">
      <w:pPr>
        <w:pStyle w:val="ListParagraph"/>
        <w:numPr>
          <w:ilvl w:val="1"/>
          <w:numId w:val="45"/>
        </w:numPr>
      </w:pPr>
      <w:r>
        <w:t>p</w:t>
      </w:r>
      <w:r>
        <w:t>řepoč</w:t>
      </w:r>
      <w:r w:rsidR="00D914B7">
        <w:t>et</w:t>
      </w:r>
      <w:r>
        <w:t xml:space="preserve"> měn</w:t>
      </w:r>
      <w:r w:rsidR="00DB48E5">
        <w:t>y</w:t>
      </w:r>
      <w:r>
        <w:t>,</w:t>
      </w:r>
    </w:p>
    <w:p w:rsidR="007017B3" w:rsidP="007017B3">
      <w:pPr>
        <w:pStyle w:val="ListParagraph"/>
        <w:numPr>
          <w:ilvl w:val="1"/>
          <w:numId w:val="45"/>
        </w:numPr>
      </w:pPr>
      <w:r>
        <w:t>č</w:t>
      </w:r>
      <w:r w:rsidR="0076558E">
        <w:t xml:space="preserve">ástečné </w:t>
      </w:r>
      <w:r>
        <w:t>odpuštění dluh</w:t>
      </w:r>
      <w:r w:rsidR="00DB48E5">
        <w:t>u</w:t>
      </w:r>
      <w:r>
        <w:t>, či konsolidac</w:t>
      </w:r>
      <w:r w:rsidR="00DB48E5">
        <w:t>i</w:t>
      </w:r>
      <w:r>
        <w:t>.</w:t>
      </w:r>
    </w:p>
    <w:p w:rsidR="007017B3" w:rsidP="007017B3"/>
    <w:p w:rsidR="00712606" w:rsidP="007017B3">
      <w:r>
        <w:t>Výčet opatření s</w:t>
      </w:r>
      <w:r w:rsidR="00DB48E5">
        <w:t>hovívavosti je pouze demonstrativní</w:t>
      </w:r>
      <w:r>
        <w:t>, podle čl. 16a odst. 2 CCD a čl. 28 odst. 1a MCD nejsou členské státy povinny zavést ve vnitrostátním právu všechna uvedená opatření.</w:t>
      </w:r>
    </w:p>
    <w:p w:rsidR="00357CCF" w:rsidP="00357CCF">
      <w:pPr>
        <w:rPr>
          <w:b/>
        </w:rPr>
      </w:pPr>
      <w:r w:rsidRPr="00F44A28">
        <w:rPr>
          <w:b/>
        </w:rPr>
        <w:t>Konzultační otázky</w:t>
      </w:r>
    </w:p>
    <w:tbl>
      <w:tblPr>
        <w:tblStyle w:val="TableGrid"/>
        <w:tblW w:w="0" w:type="auto"/>
        <w:tblLook w:val="04A0"/>
      </w:tblPr>
      <w:tblGrid>
        <w:gridCol w:w="9063"/>
      </w:tblGrid>
      <w:tr w:rsidTr="00767868">
        <w:tblPrEx>
          <w:tblW w:w="0" w:type="auto"/>
          <w:tblLook w:val="04A0"/>
        </w:tblPrEx>
        <w:trPr>
          <w:trHeight w:val="256"/>
        </w:trPr>
        <w:tc>
          <w:tcPr>
            <w:tcW w:w="9063" w:type="dxa"/>
            <w:shd w:val="clear" w:color="auto" w:fill="D9D9D9" w:themeFill="background1" w:themeFillShade="D9"/>
          </w:tcPr>
          <w:p w:rsidR="00357CCF" w:rsidP="00B538E8">
            <w:pPr>
              <w:pStyle w:val="ListParagraph"/>
              <w:numPr>
                <w:ilvl w:val="0"/>
                <w:numId w:val="29"/>
              </w:numPr>
              <w:spacing w:before="120" w:line="276" w:lineRule="auto"/>
              <w:contextualSpacing w:val="0"/>
            </w:pPr>
            <w:r>
              <w:t>Preferovali byste specifikaci opatření</w:t>
            </w:r>
            <w:r w:rsidR="00DB48E5">
              <w:t xml:space="preserve"> shovívavosti</w:t>
            </w:r>
            <w:r>
              <w:t xml:space="preserve"> </w:t>
            </w:r>
            <w:r w:rsidR="00B538E8">
              <w:t xml:space="preserve">přímo </w:t>
            </w:r>
            <w:r>
              <w:t xml:space="preserve">v zákoně, nebo byste </w:t>
            </w:r>
            <w:r w:rsidR="00B538E8">
              <w:t xml:space="preserve">výběr konkrétních opatření </w:t>
            </w:r>
            <w:r>
              <w:t>ponechali na smluvní volnosti stran?</w:t>
            </w:r>
          </w:p>
          <w:p w:rsidR="00B538E8" w:rsidRPr="00F44A28" w:rsidP="00B538E8">
            <w:pPr>
              <w:pStyle w:val="ListParagraph"/>
              <w:numPr>
                <w:ilvl w:val="0"/>
                <w:numId w:val="29"/>
              </w:numPr>
              <w:spacing w:before="120" w:line="276" w:lineRule="auto"/>
              <w:contextualSpacing w:val="0"/>
            </w:pPr>
            <w:r>
              <w:t>Jaká z uvedených opatření byste preferovali? Navrhli byste i jiná opatření, jaká?</w:t>
            </w:r>
          </w:p>
        </w:tc>
      </w:tr>
      <w:tr w:rsidTr="00EF4871">
        <w:tblPrEx>
          <w:tblW w:w="0" w:type="auto"/>
          <w:tblLook w:val="04A0"/>
        </w:tblPrEx>
        <w:trPr>
          <w:trHeight w:val="256"/>
        </w:trPr>
        <w:tc>
          <w:tcPr>
            <w:tcW w:w="9063" w:type="dxa"/>
            <w:shd w:val="clear" w:color="auto" w:fill="auto"/>
          </w:tcPr>
          <w:p w:rsidR="00767868" w:rsidP="00A623BE">
            <w:pPr>
              <w:pStyle w:val="ListParagraph"/>
              <w:spacing w:before="120"/>
              <w:ind w:left="360"/>
              <w:contextualSpacing w:val="0"/>
            </w:pPr>
            <w:r w:rsidRPr="00EF4871">
              <w:t>Odpověď:</w:t>
            </w:r>
          </w:p>
        </w:tc>
      </w:tr>
    </w:tbl>
    <w:p w:rsidR="00A623BE" w:rsidP="007017B3"/>
    <w:p w:rsidR="00D57B13" w:rsidP="007E4430">
      <w:pPr>
        <w:rPr>
          <w:color w:val="FF0000"/>
        </w:rPr>
      </w:pPr>
    </w:p>
    <w:p w:rsidR="00C800DF" w:rsidRPr="008B4C51" w:rsidP="00C800DF">
      <w:pPr>
        <w:pStyle w:val="Heading1"/>
      </w:pPr>
      <w:r>
        <w:t>Forma/způsob transpozice</w:t>
      </w:r>
    </w:p>
    <w:p w:rsidR="00ED45FC" w:rsidP="00D0517E">
      <w:r>
        <w:t>MF předpokládá, že si směrnice NPL při své transpozici do českého právního řádu vyžádá přijetí zvláštního zákona s ohledem na specifi</w:t>
      </w:r>
      <w:r w:rsidR="00767868">
        <w:t>citu</w:t>
      </w:r>
      <w:r>
        <w:t xml:space="preserve"> právní úpravy. Zároveň je pravděpodobné, že bude nutné novelizovat stávající právní úpravu jako např. zákon o spotřebitelském úvěru </w:t>
      </w:r>
      <w:r w:rsidR="00B538E8">
        <w:t>nebo</w:t>
      </w:r>
      <w:r>
        <w:t xml:space="preserve"> zákon o bankách.</w:t>
      </w:r>
    </w:p>
    <w:p w:rsidR="00ED45FC" w:rsidP="00D0517E">
      <w:r>
        <w:t>V současné době osoby vykonávající správ</w:t>
      </w:r>
      <w:r w:rsidR="00830F1C">
        <w:t>u</w:t>
      </w:r>
      <w:r>
        <w:t xml:space="preserve"> úvěru nejsou regulovaným subjektem</w:t>
      </w:r>
      <w:r w:rsidR="001A2596">
        <w:t>.</w:t>
      </w:r>
      <w:r w:rsidR="00E44152">
        <w:t xml:space="preserve"> </w:t>
      </w:r>
      <w:r w:rsidR="001A2596">
        <w:t>V</w:t>
      </w:r>
      <w:r>
        <w:t>zhledem k</w:t>
      </w:r>
      <w:r w:rsidR="001A2596">
        <w:t> </w:t>
      </w:r>
      <w:r>
        <w:t>požadavkům</w:t>
      </w:r>
      <w:r w:rsidR="001A2596">
        <w:t xml:space="preserve"> na tyto</w:t>
      </w:r>
      <w:r>
        <w:t xml:space="preserve"> osoby se </w:t>
      </w:r>
      <w:r w:rsidR="001A2596">
        <w:t>nový zákon</w:t>
      </w:r>
      <w:r>
        <w:t>, který by správu úvěrů</w:t>
      </w:r>
      <w:r w:rsidR="001A2596">
        <w:t xml:space="preserve"> upravil systematicky,</w:t>
      </w:r>
      <w:r>
        <w:t xml:space="preserve"> zdá jako legislativně vhodné řešení, ovšem zajímá nás názor širší veřejnosti.</w:t>
      </w:r>
    </w:p>
    <w:p w:rsidR="00D0517E" w:rsidP="00D0517E"/>
    <w:p w:rsidR="00D0517E" w:rsidRPr="00F44A28" w:rsidP="00D0517E">
      <w:pPr>
        <w:rPr>
          <w:b/>
        </w:rPr>
      </w:pPr>
      <w:r w:rsidRPr="00F44A28">
        <w:rPr>
          <w:b/>
        </w:rPr>
        <w:t>Konzultační otázky</w:t>
      </w:r>
    </w:p>
    <w:tbl>
      <w:tblPr>
        <w:tblStyle w:val="TableGrid"/>
        <w:tblW w:w="0" w:type="auto"/>
        <w:tblLook w:val="04A0"/>
      </w:tblPr>
      <w:tblGrid>
        <w:gridCol w:w="9213"/>
      </w:tblGrid>
      <w:tr w:rsidTr="00B538E8">
        <w:tblPrEx>
          <w:tblW w:w="0" w:type="auto"/>
          <w:tblLook w:val="04A0"/>
        </w:tblPrEx>
        <w:trPr>
          <w:trHeight w:val="256"/>
        </w:trPr>
        <w:tc>
          <w:tcPr>
            <w:tcW w:w="9213" w:type="dxa"/>
            <w:shd w:val="clear" w:color="auto" w:fill="D9D9D9" w:themeFill="background1" w:themeFillShade="D9"/>
          </w:tcPr>
          <w:p w:rsidR="00D0517E" w:rsidRPr="00F44A28" w:rsidP="00CF6FCF">
            <w:pPr>
              <w:pStyle w:val="ListParagraph"/>
              <w:numPr>
                <w:ilvl w:val="0"/>
                <w:numId w:val="29"/>
              </w:numPr>
              <w:spacing w:before="120" w:line="276" w:lineRule="auto"/>
              <w:contextualSpacing w:val="0"/>
            </w:pPr>
            <w:r>
              <w:t>Souhlasíte s návrhem vytvořit nový zákon o správcích úvěru</w:t>
            </w:r>
            <w:r w:rsidR="00767868">
              <w:t xml:space="preserve"> a obchodnících s úvěry</w:t>
            </w:r>
            <w:r>
              <w:t xml:space="preserve">, </w:t>
            </w:r>
            <w:r w:rsidR="007F42BC">
              <w:t xml:space="preserve">případně do jakého zákona byste doporučovali transpozici </w:t>
            </w:r>
            <w:r w:rsidR="00CF6FCF">
              <w:t>včlenit</w:t>
            </w:r>
            <w:r w:rsidR="007F42BC">
              <w:t xml:space="preserve">, </w:t>
            </w:r>
            <w:r w:rsidR="00CF6FCF">
              <w:t>nesouhlasíte-li</w:t>
            </w:r>
            <w:r w:rsidR="007F42BC">
              <w:t xml:space="preserve"> se samostatným zákonem</w:t>
            </w:r>
            <w:r>
              <w:t>?</w:t>
            </w:r>
          </w:p>
        </w:tc>
      </w:tr>
      <w:tr w:rsidTr="00B538E8">
        <w:tblPrEx>
          <w:tblW w:w="0" w:type="auto"/>
          <w:tblLook w:val="04A0"/>
        </w:tblPrEx>
        <w:tc>
          <w:tcPr>
            <w:tcW w:w="9213" w:type="dxa"/>
            <w:shd w:val="clear" w:color="auto" w:fill="FFFFFF" w:themeFill="background1"/>
          </w:tcPr>
          <w:p w:rsidR="00D0517E" w:rsidRPr="00F44A28" w:rsidP="00B538E8">
            <w:pPr>
              <w:spacing w:before="120" w:line="276" w:lineRule="auto"/>
            </w:pPr>
            <w:r w:rsidRPr="00F44A28">
              <w:t>Odpověď:</w:t>
            </w:r>
          </w:p>
        </w:tc>
      </w:tr>
    </w:tbl>
    <w:p w:rsidR="00D0517E" w:rsidP="00D0517E"/>
    <w:p w:rsidR="00BD411A" w:rsidRPr="005F29C5" w:rsidP="00BD411A">
      <w:pPr>
        <w:autoSpaceDE w:val="0"/>
        <w:autoSpaceDN w:val="0"/>
        <w:adjustRightInd w:val="0"/>
        <w:spacing w:after="0" w:line="240" w:lineRule="auto"/>
        <w:rPr>
          <w:rFonts w:ascii="Times New Roman" w:hAnsi="Times New Roman" w:cs="Times New Roman"/>
          <w:color w:val="000000"/>
          <w:sz w:val="23"/>
          <w:szCs w:val="23"/>
          <w:lang w:val="en-US"/>
        </w:rPr>
      </w:pPr>
    </w:p>
    <w:sectPr w:rsidSect="00F77F20">
      <w:headerReference w:type="even" r:id="rId8"/>
      <w:headerReference w:type="default" r:id="rId9"/>
      <w:footerReference w:type="default" r:id="rId10"/>
      <w:headerReference w:type="first" r:id="rId11"/>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8E8">
    <w:pPr>
      <w:pStyle w:val="Footer"/>
    </w:pPr>
    <w:r>
      <w:fldChar w:fldCharType="begin"/>
    </w:r>
    <w:r>
      <w:instrText>PAGE   \* MERGEFORMAT</w:instrText>
    </w:r>
    <w:r>
      <w:fldChar w:fldCharType="separate"/>
    </w:r>
    <w:r>
      <w:rPr>
        <w:noProof/>
      </w:rPr>
      <w:t>3</w:t>
    </w:r>
    <w:r>
      <w:fldChar w:fldCharType="end"/>
    </w:r>
  </w:p>
  <w:p w:rsidR="00B53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8E8" w:rsidRPr="00B930D9" w:rsidP="00BC0966">
    <w:pPr>
      <w:pStyle w:val="Footer"/>
      <w:jc w:val="center"/>
      <w:rPr>
        <w:sz w:val="20"/>
      </w:rPr>
    </w:pPr>
    <w:r w:rsidRPr="00B930D9">
      <w:rPr>
        <w:sz w:val="20"/>
      </w:rPr>
      <w:fldChar w:fldCharType="begin"/>
    </w:r>
    <w:r w:rsidRPr="00B930D9">
      <w:rPr>
        <w:sz w:val="20"/>
      </w:rPr>
      <w:instrText>PAGE   \* MERGEFORMAT</w:instrText>
    </w:r>
    <w:r w:rsidRPr="00B930D9">
      <w:rPr>
        <w:sz w:val="20"/>
      </w:rPr>
      <w:fldChar w:fldCharType="separate"/>
    </w:r>
    <w:r w:rsidR="006A1ED1">
      <w:rPr>
        <w:noProof/>
        <w:sz w:val="20"/>
      </w:rPr>
      <w:t>2</w:t>
    </w:r>
    <w:r w:rsidRPr="00B930D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4651B" w:rsidP="00CE2497">
      <w:pPr>
        <w:spacing w:after="0" w:line="240" w:lineRule="auto"/>
      </w:pPr>
      <w:r>
        <w:separator/>
      </w:r>
    </w:p>
  </w:footnote>
  <w:footnote w:type="continuationSeparator" w:id="1">
    <w:p w:rsidR="00B4651B" w:rsidP="00CE2497">
      <w:pPr>
        <w:spacing w:after="0" w:line="240" w:lineRule="auto"/>
      </w:pPr>
      <w:r>
        <w:continuationSeparator/>
      </w:r>
    </w:p>
  </w:footnote>
  <w:footnote w:id="2">
    <w:p w:rsidR="00B538E8">
      <w:pPr>
        <w:pStyle w:val="FootnoteText"/>
      </w:pPr>
      <w:r>
        <w:rPr>
          <w:rStyle w:val="FootnoteReference"/>
        </w:rPr>
        <w:footnoteRef/>
      </w:r>
      <w:r>
        <w:t xml:space="preserve"> Úvěry v selhání jsou úvěry, v jejichž případě dlužníci nejsou schopni splácet plánované platby na úhradu úroků nebo jistiny. Jsou-li platby více než 90 dnů po splatnosti nebo bylo vyhodnoceno, že úvěr zřejmě dlužník nesplatí, klasifikuje se úvěr jako úvěr v selhání.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22BB2"/>
    <w:multiLevelType w:val="hybridMultilevel"/>
    <w:tmpl w:val="1318B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FF0B5C"/>
    <w:multiLevelType w:val="hybridMultilevel"/>
    <w:tmpl w:val="9AB0E11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051BF6"/>
    <w:multiLevelType w:val="hybridMultilevel"/>
    <w:tmpl w:val="B20C23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F320DD"/>
    <w:multiLevelType w:val="hybridMultilevel"/>
    <w:tmpl w:val="D7F460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935C7D"/>
    <w:multiLevelType w:val="hybridMultilevel"/>
    <w:tmpl w:val="DB922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4305E7"/>
    <w:multiLevelType w:val="hybridMultilevel"/>
    <w:tmpl w:val="788AE4F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AA34F6"/>
    <w:multiLevelType w:val="hybridMultilevel"/>
    <w:tmpl w:val="E1B694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FD20BE"/>
    <w:multiLevelType w:val="hybridMultilevel"/>
    <w:tmpl w:val="77C0999A"/>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E444A76"/>
    <w:multiLevelType w:val="hybridMultilevel"/>
    <w:tmpl w:val="C38A26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2E267B"/>
    <w:multiLevelType w:val="hybridMultilevel"/>
    <w:tmpl w:val="CC124EA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2293793"/>
    <w:multiLevelType w:val="hybridMultilevel"/>
    <w:tmpl w:val="A53C6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E26C98"/>
    <w:multiLevelType w:val="hybridMultilevel"/>
    <w:tmpl w:val="59BE5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F65D57"/>
    <w:multiLevelType w:val="hybridMultilevel"/>
    <w:tmpl w:val="AED6D1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670A7D"/>
    <w:multiLevelType w:val="hybridMultilevel"/>
    <w:tmpl w:val="FA2AC2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9D64479"/>
    <w:multiLevelType w:val="hybridMultilevel"/>
    <w:tmpl w:val="36829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5444BC"/>
    <w:multiLevelType w:val="hybridMultilevel"/>
    <w:tmpl w:val="465812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3D4184"/>
    <w:multiLevelType w:val="hybridMultilevel"/>
    <w:tmpl w:val="3B14E4A8"/>
    <w:lvl w:ilvl="0">
      <w:start w:val="2"/>
      <w:numFmt w:val="bullet"/>
      <w:lvlText w:val="-"/>
      <w:lvlJc w:val="left"/>
      <w:pPr>
        <w:ind w:left="720" w:hanging="360"/>
      </w:pPr>
      <w:rPr>
        <w:rFonts w:ascii="Arial" w:hAnsi="Arial" w:eastAsiaTheme="minorHAnsi"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0071E9"/>
    <w:multiLevelType w:val="hybridMultilevel"/>
    <w:tmpl w:val="88162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B8730B"/>
    <w:multiLevelType w:val="hybridMultilevel"/>
    <w:tmpl w:val="A0707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A96046"/>
    <w:multiLevelType w:val="hybridMultilevel"/>
    <w:tmpl w:val="328CAF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E95D5F"/>
    <w:multiLevelType w:val="hybridMultilevel"/>
    <w:tmpl w:val="BC186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165507"/>
    <w:multiLevelType w:val="hybridMultilevel"/>
    <w:tmpl w:val="DD8844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241153"/>
    <w:multiLevelType w:val="hybridMultilevel"/>
    <w:tmpl w:val="B5B0C5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7051AA"/>
    <w:multiLevelType w:val="hybridMultilevel"/>
    <w:tmpl w:val="69961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7710C10"/>
    <w:multiLevelType w:val="hybridMultilevel"/>
    <w:tmpl w:val="0CE05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395A9C"/>
    <w:multiLevelType w:val="hybridMultilevel"/>
    <w:tmpl w:val="AA005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4810BC"/>
    <w:multiLevelType w:val="hybridMultilevel"/>
    <w:tmpl w:val="60946A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605618"/>
    <w:multiLevelType w:val="hybridMultilevel"/>
    <w:tmpl w:val="523C4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33626C"/>
    <w:multiLevelType w:val="hybridMultilevel"/>
    <w:tmpl w:val="2BC0D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EF7844"/>
    <w:multiLevelType w:val="hybridMultilevel"/>
    <w:tmpl w:val="22E89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D38014E"/>
    <w:multiLevelType w:val="hybridMultilevel"/>
    <w:tmpl w:val="358204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F4A5B82"/>
    <w:multiLevelType w:val="hybridMultilevel"/>
    <w:tmpl w:val="B70A9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1FB23DC"/>
    <w:multiLevelType w:val="hybridMultilevel"/>
    <w:tmpl w:val="EA9E310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1F4C30"/>
    <w:multiLevelType w:val="hybridMultilevel"/>
    <w:tmpl w:val="2730E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B5517F"/>
    <w:multiLevelType w:val="hybridMultilevel"/>
    <w:tmpl w:val="2EFAA7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5AB2E2B"/>
    <w:multiLevelType w:val="multilevel"/>
    <w:tmpl w:val="A522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4354CB"/>
    <w:multiLevelType w:val="hybridMultilevel"/>
    <w:tmpl w:val="6C741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07337E"/>
    <w:multiLevelType w:val="hybridMultilevel"/>
    <w:tmpl w:val="DED400CE"/>
    <w:lvl w:ilvl="0">
      <w:start w:val="1"/>
      <w:numFmt w:val="lowerLetter"/>
      <w:lvlText w:val="%1)"/>
      <w:lvlJc w:val="left"/>
      <w:pPr>
        <w:ind w:left="720" w:hanging="360"/>
      </w:pPr>
      <w:rPr>
        <w:rFonts w:ascii="Arial" w:hAnsi="Arial" w:eastAsia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A968B2"/>
    <w:multiLevelType w:val="hybridMultilevel"/>
    <w:tmpl w:val="9AF405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9C57CA7"/>
    <w:multiLevelType w:val="hybridMultilevel"/>
    <w:tmpl w:val="AB069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A3843A5"/>
    <w:multiLevelType w:val="multilevel"/>
    <w:tmpl w:val="2D68763A"/>
    <w:lvl w:ilvl="0">
      <w:start w:val="1"/>
      <w:numFmt w:val="decimal"/>
      <w:lvlText w:val="%1."/>
      <w:lvlJc w:val="left"/>
      <w:pPr>
        <w:ind w:left="4968"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nsid w:val="6D2E4126"/>
    <w:multiLevelType w:val="hybridMultilevel"/>
    <w:tmpl w:val="302E9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D20A1E"/>
    <w:multiLevelType w:val="hybridMultilevel"/>
    <w:tmpl w:val="FD7E4E9C"/>
    <w:lvl w:ilvl="0">
      <w:start w:val="1"/>
      <w:numFmt w:val="bullet"/>
      <w:pStyle w:val="Odstavecseseznamem-shrnu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1CA1DE8"/>
    <w:multiLevelType w:val="hybridMultilevel"/>
    <w:tmpl w:val="015EDA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1CC7A55"/>
    <w:multiLevelType w:val="hybridMultilevel"/>
    <w:tmpl w:val="BF04A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64174B3"/>
    <w:multiLevelType w:val="hybridMultilevel"/>
    <w:tmpl w:val="DC740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87F6677"/>
    <w:multiLevelType w:val="hybridMultilevel"/>
    <w:tmpl w:val="8D047B4C"/>
    <w:lvl w:ilvl="0">
      <w:start w:val="1"/>
      <w:numFmt w:val="decimal"/>
      <w:pStyle w:val="Heading1"/>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C13537"/>
    <w:multiLevelType w:val="hybridMultilevel"/>
    <w:tmpl w:val="6CE2937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1"/>
  </w:num>
  <w:num w:numId="2">
    <w:abstractNumId w:val="20"/>
  </w:num>
  <w:num w:numId="3">
    <w:abstractNumId w:val="39"/>
  </w:num>
  <w:num w:numId="4">
    <w:abstractNumId w:val="41"/>
  </w:num>
  <w:num w:numId="5">
    <w:abstractNumId w:val="33"/>
  </w:num>
  <w:num w:numId="6">
    <w:abstractNumId w:val="10"/>
  </w:num>
  <w:num w:numId="7">
    <w:abstractNumId w:val="28"/>
  </w:num>
  <w:num w:numId="8">
    <w:abstractNumId w:val="0"/>
  </w:num>
  <w:num w:numId="9">
    <w:abstractNumId w:val="25"/>
  </w:num>
  <w:num w:numId="10">
    <w:abstractNumId w:val="23"/>
  </w:num>
  <w:num w:numId="11">
    <w:abstractNumId w:val="18"/>
  </w:num>
  <w:num w:numId="12">
    <w:abstractNumId w:val="12"/>
  </w:num>
  <w:num w:numId="13">
    <w:abstractNumId w:val="14"/>
  </w:num>
  <w:num w:numId="14">
    <w:abstractNumId w:val="43"/>
  </w:num>
  <w:num w:numId="15">
    <w:abstractNumId w:val="6"/>
  </w:num>
  <w:num w:numId="16">
    <w:abstractNumId w:val="15"/>
  </w:num>
  <w:num w:numId="17">
    <w:abstractNumId w:val="4"/>
  </w:num>
  <w:num w:numId="18">
    <w:abstractNumId w:val="22"/>
  </w:num>
  <w:num w:numId="19">
    <w:abstractNumId w:val="5"/>
  </w:num>
  <w:num w:numId="20">
    <w:abstractNumId w:val="27"/>
  </w:num>
  <w:num w:numId="21">
    <w:abstractNumId w:val="42"/>
  </w:num>
  <w:num w:numId="22">
    <w:abstractNumId w:val="3"/>
  </w:num>
  <w:num w:numId="23">
    <w:abstractNumId w:val="8"/>
  </w:num>
  <w:num w:numId="24">
    <w:abstractNumId w:val="36"/>
  </w:num>
  <w:num w:numId="25">
    <w:abstractNumId w:val="29"/>
  </w:num>
  <w:num w:numId="26">
    <w:abstractNumId w:val="24"/>
  </w:num>
  <w:num w:numId="27">
    <w:abstractNumId w:val="40"/>
  </w:num>
  <w:num w:numId="28">
    <w:abstractNumId w:val="19"/>
  </w:num>
  <w:num w:numId="29">
    <w:abstractNumId w:val="47"/>
  </w:num>
  <w:num w:numId="30">
    <w:abstractNumId w:val="13"/>
  </w:num>
  <w:num w:numId="31">
    <w:abstractNumId w:val="9"/>
  </w:num>
  <w:num w:numId="32">
    <w:abstractNumId w:val="38"/>
  </w:num>
  <w:num w:numId="33">
    <w:abstractNumId w:val="45"/>
  </w:num>
  <w:num w:numId="34">
    <w:abstractNumId w:val="44"/>
  </w:num>
  <w:num w:numId="35">
    <w:abstractNumId w:val="26"/>
  </w:num>
  <w:num w:numId="36">
    <w:abstractNumId w:val="34"/>
  </w:num>
  <w:num w:numId="37">
    <w:abstractNumId w:val="1"/>
  </w:num>
  <w:num w:numId="38">
    <w:abstractNumId w:val="46"/>
  </w:num>
  <w:num w:numId="39">
    <w:abstractNumId w:val="32"/>
  </w:num>
  <w:num w:numId="40">
    <w:abstractNumId w:val="37"/>
  </w:num>
  <w:num w:numId="41">
    <w:abstractNumId w:val="2"/>
  </w:num>
  <w:num w:numId="42">
    <w:abstractNumId w:val="30"/>
  </w:num>
  <w:num w:numId="43">
    <w:abstractNumId w:val="17"/>
  </w:num>
  <w:num w:numId="44">
    <w:abstractNumId w:val="7"/>
  </w:num>
  <w:num w:numId="45">
    <w:abstractNumId w:val="16"/>
  </w:num>
  <w:num w:numId="46">
    <w:abstractNumId w:val="21"/>
  </w:num>
  <w:num w:numId="47">
    <w:abstractNumId w:val="1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82DCA"/>
    <w:pPr>
      <w:spacing w:after="120"/>
      <w:jc w:val="both"/>
    </w:pPr>
    <w:rPr>
      <w:rFonts w:ascii="Arial" w:hAnsi="Arial"/>
    </w:rPr>
  </w:style>
  <w:style w:type="paragraph" w:styleId="Heading1">
    <w:name w:val="heading 1"/>
    <w:basedOn w:val="NoSpacing"/>
    <w:next w:val="Normal"/>
    <w:link w:val="Nadpis1Char"/>
    <w:uiPriority w:val="9"/>
    <w:qFormat/>
    <w:rsid w:val="00A43A43"/>
    <w:pPr>
      <w:pageBreakBefore/>
      <w:numPr>
        <w:numId w:val="38"/>
      </w:numPr>
      <w:spacing w:after="240"/>
      <w:ind w:left="425" w:hanging="425"/>
      <w:outlineLvl w:val="0"/>
    </w:pPr>
    <w:rPr>
      <w:b/>
      <w:sz w:val="28"/>
    </w:rPr>
  </w:style>
  <w:style w:type="paragraph" w:styleId="Heading2">
    <w:name w:val="heading 2"/>
    <w:basedOn w:val="Normal"/>
    <w:next w:val="Normal"/>
    <w:link w:val="Nadpis2Char"/>
    <w:uiPriority w:val="9"/>
    <w:unhideWhenUsed/>
    <w:qFormat/>
    <w:rsid w:val="003968FB"/>
    <w:pPr>
      <w:keepNext/>
      <w:keepLines/>
      <w:ind w:left="576" w:hanging="576"/>
      <w:outlineLvl w:val="1"/>
    </w:pPr>
    <w:rPr>
      <w:rFonts w:eastAsiaTheme="majorEastAsia" w:cstheme="majorBidi"/>
      <w:b/>
      <w:bCs/>
      <w:sz w:val="24"/>
      <w:szCs w:val="26"/>
    </w:rPr>
  </w:style>
  <w:style w:type="paragraph" w:styleId="Heading3">
    <w:name w:val="heading 3"/>
    <w:basedOn w:val="Normal"/>
    <w:next w:val="Normal"/>
    <w:link w:val="Nadpis3Char"/>
    <w:uiPriority w:val="9"/>
    <w:unhideWhenUsed/>
    <w:qFormat/>
    <w:rsid w:val="00B31B41"/>
    <w:pPr>
      <w:keepNext/>
      <w:keepLines/>
      <w:numPr>
        <w:ilvl w:val="2"/>
        <w:numId w:val="27"/>
      </w:numPr>
      <w:outlineLvl w:val="2"/>
    </w:pPr>
    <w:rPr>
      <w:rFonts w:eastAsiaTheme="majorEastAsia" w:cstheme="majorBidi"/>
      <w:b/>
      <w:bCs/>
      <w:caps/>
      <w:sz w:val="21"/>
    </w:rPr>
  </w:style>
  <w:style w:type="paragraph" w:styleId="Heading4">
    <w:name w:val="heading 4"/>
    <w:basedOn w:val="Normal"/>
    <w:next w:val="Normal"/>
    <w:link w:val="Nadpis4Char"/>
    <w:uiPriority w:val="9"/>
    <w:semiHidden/>
    <w:unhideWhenUsed/>
    <w:rsid w:val="00462C54"/>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Nadpis5Char"/>
    <w:uiPriority w:val="9"/>
    <w:semiHidden/>
    <w:unhideWhenUsed/>
    <w:qFormat/>
    <w:rsid w:val="00462C54"/>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Nadpis6Char"/>
    <w:uiPriority w:val="9"/>
    <w:semiHidden/>
    <w:unhideWhenUsed/>
    <w:qFormat/>
    <w:rsid w:val="00462C54"/>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Nadpis7Char"/>
    <w:uiPriority w:val="9"/>
    <w:semiHidden/>
    <w:unhideWhenUsed/>
    <w:qFormat/>
    <w:rsid w:val="00462C54"/>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Nadpis8Char"/>
    <w:uiPriority w:val="9"/>
    <w:semiHidden/>
    <w:unhideWhenUsed/>
    <w:qFormat/>
    <w:rsid w:val="00462C54"/>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semiHidden/>
    <w:unhideWhenUsed/>
    <w:qFormat/>
    <w:rsid w:val="00462C54"/>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bublinyChar"/>
    <w:uiPriority w:val="99"/>
    <w:semiHidden/>
    <w:unhideWhenUsed/>
    <w:rsid w:val="00375323"/>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375323"/>
    <w:rPr>
      <w:rFonts w:ascii="Tahoma" w:hAnsi="Tahoma" w:cs="Tahoma"/>
      <w:sz w:val="16"/>
      <w:szCs w:val="16"/>
    </w:rPr>
  </w:style>
  <w:style w:type="character" w:customStyle="1" w:styleId="Nadpis1Char">
    <w:name w:val="Nadpis 1 Char"/>
    <w:basedOn w:val="DefaultParagraphFont"/>
    <w:link w:val="Heading1"/>
    <w:uiPriority w:val="9"/>
    <w:rsid w:val="00A43A43"/>
    <w:rPr>
      <w:rFonts w:ascii="Arial" w:hAnsi="Arial"/>
      <w:b/>
      <w:sz w:val="28"/>
    </w:rPr>
  </w:style>
  <w:style w:type="character" w:customStyle="1" w:styleId="Nadpis2Char">
    <w:name w:val="Nadpis 2 Char"/>
    <w:basedOn w:val="DefaultParagraphFont"/>
    <w:link w:val="Heading2"/>
    <w:uiPriority w:val="9"/>
    <w:rsid w:val="003968FB"/>
    <w:rPr>
      <w:rFonts w:ascii="Arial" w:hAnsi="Arial" w:eastAsiaTheme="majorEastAsia" w:cstheme="majorBidi"/>
      <w:b/>
      <w:bCs/>
      <w:sz w:val="24"/>
      <w:szCs w:val="26"/>
    </w:rPr>
  </w:style>
  <w:style w:type="table" w:styleId="TableGrid">
    <w:name w:val="Table Grid"/>
    <w:basedOn w:val="TableNormal"/>
    <w:uiPriority w:val="59"/>
    <w:rsid w:val="0037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5DE0"/>
    <w:pPr>
      <w:jc w:val="left"/>
      <w:outlineLvl w:val="9"/>
    </w:pPr>
    <w:rPr>
      <w:rFonts w:asciiTheme="majorHAnsi" w:hAnsiTheme="majorHAnsi"/>
      <w:color w:val="365F91" w:themeColor="accent1" w:themeShade="BF"/>
      <w:lang w:eastAsia="cs-CZ"/>
    </w:rPr>
  </w:style>
  <w:style w:type="paragraph" w:styleId="TOC1">
    <w:name w:val="toc 1"/>
    <w:basedOn w:val="Normal"/>
    <w:next w:val="Normal"/>
    <w:autoRedefine/>
    <w:uiPriority w:val="39"/>
    <w:unhideWhenUsed/>
    <w:qFormat/>
    <w:rsid w:val="00475DE0"/>
    <w:pPr>
      <w:spacing w:after="100"/>
    </w:pPr>
  </w:style>
  <w:style w:type="character" w:styleId="Hyperlink">
    <w:name w:val="Hyperlink"/>
    <w:basedOn w:val="DefaultParagraphFont"/>
    <w:uiPriority w:val="99"/>
    <w:unhideWhenUsed/>
    <w:rsid w:val="00475DE0"/>
    <w:rPr>
      <w:color w:val="0000FF" w:themeColor="hyperlink"/>
      <w:u w:val="single"/>
    </w:rPr>
  </w:style>
  <w:style w:type="paragraph" w:styleId="TOC2">
    <w:name w:val="toc 2"/>
    <w:basedOn w:val="Normal"/>
    <w:next w:val="Normal"/>
    <w:autoRedefine/>
    <w:uiPriority w:val="39"/>
    <w:unhideWhenUsed/>
    <w:qFormat/>
    <w:rsid w:val="009A7EC5"/>
    <w:pPr>
      <w:spacing w:after="100"/>
      <w:ind w:left="220"/>
    </w:pPr>
    <w:rPr>
      <w:rFonts w:eastAsiaTheme="minorEastAsia"/>
      <w:lang w:eastAsia="cs-CZ"/>
    </w:rPr>
  </w:style>
  <w:style w:type="paragraph" w:styleId="TOC3">
    <w:name w:val="toc 3"/>
    <w:basedOn w:val="Normal"/>
    <w:next w:val="Normal"/>
    <w:autoRedefine/>
    <w:uiPriority w:val="39"/>
    <w:unhideWhenUsed/>
    <w:qFormat/>
    <w:rsid w:val="00CF4E97"/>
    <w:pPr>
      <w:spacing w:after="100"/>
      <w:ind w:left="440"/>
      <w:jc w:val="left"/>
    </w:pPr>
    <w:rPr>
      <w:rFonts w:eastAsiaTheme="minorEastAsia"/>
      <w:lang w:eastAsia="cs-CZ"/>
    </w:rPr>
  </w:style>
  <w:style w:type="paragraph" w:styleId="NoSpacing">
    <w:name w:val="No Spacing"/>
    <w:uiPriority w:val="1"/>
    <w:qFormat/>
    <w:rsid w:val="004A6B14"/>
    <w:pPr>
      <w:spacing w:after="0" w:line="240" w:lineRule="auto"/>
      <w:jc w:val="both"/>
    </w:pPr>
    <w:rPr>
      <w:rFonts w:ascii="Arial" w:hAnsi="Arial"/>
    </w:rPr>
  </w:style>
  <w:style w:type="paragraph" w:styleId="Header">
    <w:name w:val="header"/>
    <w:basedOn w:val="Normal"/>
    <w:link w:val="ZhlavChar"/>
    <w:uiPriority w:val="99"/>
    <w:unhideWhenUsed/>
    <w:rsid w:val="00CE2497"/>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CE2497"/>
    <w:rPr>
      <w:rFonts w:ascii="Arial" w:hAnsi="Arial"/>
    </w:rPr>
  </w:style>
  <w:style w:type="paragraph" w:styleId="Footer">
    <w:name w:val="footer"/>
    <w:basedOn w:val="Normal"/>
    <w:link w:val="ZpatChar"/>
    <w:uiPriority w:val="99"/>
    <w:unhideWhenUsed/>
    <w:rsid w:val="00CE2497"/>
    <w:pPr>
      <w:tabs>
        <w:tab w:val="center" w:pos="4536"/>
        <w:tab w:val="right" w:pos="9072"/>
      </w:tabs>
      <w:spacing w:after="0" w:line="240" w:lineRule="auto"/>
    </w:pPr>
  </w:style>
  <w:style w:type="character" w:customStyle="1" w:styleId="ZpatChar">
    <w:name w:val="Zápatí Char"/>
    <w:basedOn w:val="DefaultParagraphFont"/>
    <w:link w:val="Footer"/>
    <w:uiPriority w:val="99"/>
    <w:rsid w:val="00CE2497"/>
    <w:rPr>
      <w:rFonts w:ascii="Arial" w:hAnsi="Arial"/>
    </w:rPr>
  </w:style>
  <w:style w:type="paragraph" w:styleId="FootnoteText">
    <w:name w:val="footnote text"/>
    <w:basedOn w:val="Normal"/>
    <w:link w:val="TextpoznpodarouChar"/>
    <w:uiPriority w:val="99"/>
    <w:rsid w:val="00475B61"/>
    <w:pPr>
      <w:spacing w:after="60" w:line="240" w:lineRule="auto"/>
    </w:pPr>
    <w:rPr>
      <w:sz w:val="20"/>
      <w:szCs w:val="20"/>
    </w:rPr>
  </w:style>
  <w:style w:type="character" w:customStyle="1" w:styleId="TextpoznpodarouChar">
    <w:name w:val="Text pozn. pod čarou Char"/>
    <w:basedOn w:val="DefaultParagraphFont"/>
    <w:link w:val="FootnoteText"/>
    <w:uiPriority w:val="99"/>
    <w:rsid w:val="00475B61"/>
    <w:rPr>
      <w:rFonts w:ascii="Arial" w:hAnsi="Arial"/>
      <w:sz w:val="20"/>
      <w:szCs w:val="20"/>
    </w:rPr>
  </w:style>
  <w:style w:type="character" w:styleId="FootnoteReference">
    <w:name w:val="footnote reference"/>
    <w:basedOn w:val="DefaultParagraphFont"/>
    <w:uiPriority w:val="99"/>
    <w:semiHidden/>
    <w:unhideWhenUsed/>
    <w:rsid w:val="001F4F9C"/>
    <w:rPr>
      <w:vertAlign w:val="superscript"/>
    </w:rPr>
  </w:style>
  <w:style w:type="paragraph" w:customStyle="1" w:styleId="Tabulka">
    <w:name w:val="Tabulka"/>
    <w:basedOn w:val="Normal"/>
    <w:link w:val="TabulkaChar"/>
    <w:qFormat/>
    <w:rsid w:val="00B973F0"/>
    <w:pPr>
      <w:spacing w:after="0" w:line="240" w:lineRule="auto"/>
      <w:jc w:val="left"/>
    </w:pPr>
    <w:rPr>
      <w:rFonts w:eastAsia="Times New Roman" w:cs="Arial"/>
      <w:bCs/>
      <w:color w:val="000000"/>
      <w:sz w:val="18"/>
      <w:lang w:eastAsia="cs-CZ"/>
    </w:rPr>
  </w:style>
  <w:style w:type="paragraph" w:styleId="ListParagraph">
    <w:name w:val="List Paragraph"/>
    <w:basedOn w:val="Normal"/>
    <w:link w:val="OdstavecseseznamemChar"/>
    <w:uiPriority w:val="34"/>
    <w:qFormat/>
    <w:rsid w:val="00775111"/>
    <w:pPr>
      <w:ind w:left="720"/>
      <w:contextualSpacing/>
    </w:pPr>
  </w:style>
  <w:style w:type="character" w:customStyle="1" w:styleId="TabulkaChar">
    <w:name w:val="Tabulka Char"/>
    <w:basedOn w:val="DefaultParagraphFont"/>
    <w:link w:val="Tabulka"/>
    <w:rsid w:val="00B973F0"/>
    <w:rPr>
      <w:rFonts w:ascii="Arial" w:eastAsia="Times New Roman" w:hAnsi="Arial" w:cs="Arial"/>
      <w:bCs/>
      <w:color w:val="000000"/>
      <w:sz w:val="18"/>
      <w:lang w:eastAsia="cs-CZ"/>
    </w:rPr>
  </w:style>
  <w:style w:type="character" w:styleId="CommentReference">
    <w:name w:val="annotation reference"/>
    <w:basedOn w:val="DefaultParagraphFont"/>
    <w:uiPriority w:val="99"/>
    <w:semiHidden/>
    <w:unhideWhenUsed/>
    <w:rsid w:val="007B14D3"/>
    <w:rPr>
      <w:sz w:val="16"/>
      <w:szCs w:val="16"/>
    </w:rPr>
  </w:style>
  <w:style w:type="paragraph" w:styleId="CommentText">
    <w:name w:val="annotation text"/>
    <w:basedOn w:val="Normal"/>
    <w:link w:val="TextkomenteChar"/>
    <w:uiPriority w:val="99"/>
    <w:unhideWhenUsed/>
    <w:rsid w:val="007B14D3"/>
    <w:pPr>
      <w:spacing w:line="240" w:lineRule="auto"/>
    </w:pPr>
    <w:rPr>
      <w:sz w:val="20"/>
      <w:szCs w:val="20"/>
    </w:rPr>
  </w:style>
  <w:style w:type="character" w:customStyle="1" w:styleId="TextkomenteChar">
    <w:name w:val="Text komentáře Char"/>
    <w:basedOn w:val="DefaultParagraphFont"/>
    <w:link w:val="CommentText"/>
    <w:uiPriority w:val="99"/>
    <w:rsid w:val="007B14D3"/>
    <w:rPr>
      <w:rFonts w:ascii="Arial" w:hAnsi="Arial"/>
      <w:sz w:val="20"/>
      <w:szCs w:val="20"/>
    </w:rPr>
  </w:style>
  <w:style w:type="paragraph" w:styleId="CommentSubject">
    <w:name w:val="annotation subject"/>
    <w:basedOn w:val="CommentText"/>
    <w:next w:val="CommentText"/>
    <w:link w:val="PedmtkomenteChar"/>
    <w:uiPriority w:val="99"/>
    <w:semiHidden/>
    <w:unhideWhenUsed/>
    <w:rsid w:val="007B14D3"/>
    <w:rPr>
      <w:b/>
      <w:bCs/>
    </w:rPr>
  </w:style>
  <w:style w:type="character" w:customStyle="1" w:styleId="PedmtkomenteChar">
    <w:name w:val="Předmět komentáře Char"/>
    <w:basedOn w:val="TextkomenteChar"/>
    <w:link w:val="CommentSubject"/>
    <w:uiPriority w:val="99"/>
    <w:semiHidden/>
    <w:rsid w:val="007B14D3"/>
    <w:rPr>
      <w:rFonts w:ascii="Arial" w:hAnsi="Arial"/>
      <w:b/>
      <w:bCs/>
      <w:sz w:val="20"/>
      <w:szCs w:val="20"/>
    </w:rPr>
  </w:style>
  <w:style w:type="character" w:customStyle="1" w:styleId="Nadpis3Char">
    <w:name w:val="Nadpis 3 Char"/>
    <w:basedOn w:val="DefaultParagraphFont"/>
    <w:link w:val="Heading3"/>
    <w:uiPriority w:val="9"/>
    <w:rsid w:val="00B31B41"/>
    <w:rPr>
      <w:rFonts w:ascii="Arial" w:hAnsi="Arial" w:eastAsiaTheme="majorEastAsia" w:cstheme="majorBidi"/>
      <w:b/>
      <w:bCs/>
      <w:caps/>
      <w:sz w:val="21"/>
    </w:rPr>
  </w:style>
  <w:style w:type="character" w:styleId="FollowedHyperlink">
    <w:name w:val="FollowedHyperlink"/>
    <w:basedOn w:val="DefaultParagraphFont"/>
    <w:uiPriority w:val="99"/>
    <w:semiHidden/>
    <w:unhideWhenUsed/>
    <w:rsid w:val="005740EF"/>
    <w:rPr>
      <w:color w:val="800080" w:themeColor="followedHyperlink"/>
      <w:u w:val="single"/>
    </w:rPr>
  </w:style>
  <w:style w:type="character" w:styleId="Strong">
    <w:name w:val="Strong"/>
    <w:basedOn w:val="DefaultParagraphFont"/>
    <w:uiPriority w:val="22"/>
    <w:qFormat/>
    <w:rsid w:val="00B837FA"/>
    <w:rPr>
      <w:b/>
      <w:bCs/>
    </w:rPr>
  </w:style>
  <w:style w:type="paragraph" w:customStyle="1" w:styleId="Default">
    <w:name w:val="Default"/>
    <w:rsid w:val="000036D8"/>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D83E73"/>
    <w:rPr>
      <w:i/>
      <w:iCs/>
    </w:rPr>
  </w:style>
  <w:style w:type="paragraph" w:customStyle="1" w:styleId="Odstavecseseznamem-shrnut">
    <w:name w:val="Odstavec se seznamem - shrnutí"/>
    <w:basedOn w:val="ListParagraph"/>
    <w:link w:val="Odstavecseseznamem-shrnutChar"/>
    <w:qFormat/>
    <w:rsid w:val="005D2002"/>
    <w:pPr>
      <w:numPr>
        <w:numId w:val="21"/>
      </w:numPr>
      <w:spacing w:after="60" w:line="300" w:lineRule="auto"/>
      <w:ind w:left="357" w:hanging="357"/>
      <w:contextualSpacing w:val="0"/>
    </w:pPr>
  </w:style>
  <w:style w:type="character" w:customStyle="1" w:styleId="OdstavecseseznamemChar">
    <w:name w:val="Odstavec se seznamem Char"/>
    <w:basedOn w:val="DefaultParagraphFont"/>
    <w:link w:val="ListParagraph"/>
    <w:uiPriority w:val="34"/>
    <w:rsid w:val="005D2002"/>
    <w:rPr>
      <w:rFonts w:ascii="Arial" w:hAnsi="Arial"/>
    </w:rPr>
  </w:style>
  <w:style w:type="character" w:customStyle="1" w:styleId="Odstavecseseznamem-shrnutChar">
    <w:name w:val="Odstavec se seznamem - shrnutí Char"/>
    <w:basedOn w:val="OdstavecseseznamemChar"/>
    <w:link w:val="Odstavecseseznamem-shrnut"/>
    <w:rsid w:val="005D2002"/>
    <w:rPr>
      <w:rFonts w:ascii="Arial" w:hAnsi="Arial"/>
    </w:rPr>
  </w:style>
  <w:style w:type="character" w:customStyle="1" w:styleId="Nevyeenzmnka1">
    <w:name w:val="Nevyřešená zmínka1"/>
    <w:basedOn w:val="DefaultParagraphFont"/>
    <w:uiPriority w:val="99"/>
    <w:semiHidden/>
    <w:unhideWhenUsed/>
    <w:rsid w:val="00462C54"/>
    <w:rPr>
      <w:color w:val="808080"/>
      <w:shd w:val="clear" w:color="auto" w:fill="E6E6E6"/>
    </w:rPr>
  </w:style>
  <w:style w:type="character" w:customStyle="1" w:styleId="Nadpis4Char">
    <w:name w:val="Nadpis 4 Char"/>
    <w:basedOn w:val="DefaultParagraphFont"/>
    <w:link w:val="Heading4"/>
    <w:uiPriority w:val="9"/>
    <w:semiHidden/>
    <w:rsid w:val="00462C54"/>
    <w:rPr>
      <w:rFonts w:asciiTheme="majorHAnsi" w:eastAsiaTheme="majorEastAsia" w:hAnsiTheme="majorHAnsi" w:cstheme="majorBidi"/>
      <w:i/>
      <w:iCs/>
      <w:color w:val="365F91" w:themeColor="accent1" w:themeShade="BF"/>
    </w:rPr>
  </w:style>
  <w:style w:type="character" w:customStyle="1" w:styleId="Nadpis5Char">
    <w:name w:val="Nadpis 5 Char"/>
    <w:basedOn w:val="DefaultParagraphFont"/>
    <w:link w:val="Heading5"/>
    <w:uiPriority w:val="9"/>
    <w:semiHidden/>
    <w:rsid w:val="00462C54"/>
    <w:rPr>
      <w:rFonts w:asciiTheme="majorHAnsi" w:eastAsiaTheme="majorEastAsia" w:hAnsiTheme="majorHAnsi" w:cstheme="majorBidi"/>
      <w:color w:val="365F91" w:themeColor="accent1" w:themeShade="BF"/>
    </w:rPr>
  </w:style>
  <w:style w:type="character" w:customStyle="1" w:styleId="Nadpis6Char">
    <w:name w:val="Nadpis 6 Char"/>
    <w:basedOn w:val="DefaultParagraphFont"/>
    <w:link w:val="Heading6"/>
    <w:uiPriority w:val="9"/>
    <w:semiHidden/>
    <w:rsid w:val="00462C54"/>
    <w:rPr>
      <w:rFonts w:asciiTheme="majorHAnsi" w:eastAsiaTheme="majorEastAsia" w:hAnsiTheme="majorHAnsi" w:cstheme="majorBidi"/>
      <w:color w:val="243F60" w:themeColor="accent1" w:themeShade="7F"/>
    </w:rPr>
  </w:style>
  <w:style w:type="character" w:customStyle="1" w:styleId="Nadpis7Char">
    <w:name w:val="Nadpis 7 Char"/>
    <w:basedOn w:val="DefaultParagraphFont"/>
    <w:link w:val="Heading7"/>
    <w:uiPriority w:val="9"/>
    <w:semiHidden/>
    <w:rsid w:val="00462C54"/>
    <w:rPr>
      <w:rFonts w:asciiTheme="majorHAnsi" w:eastAsiaTheme="majorEastAsia" w:hAnsiTheme="majorHAnsi" w:cstheme="majorBidi"/>
      <w:i/>
      <w:iCs/>
      <w:color w:val="243F60" w:themeColor="accent1" w:themeShade="7F"/>
    </w:rPr>
  </w:style>
  <w:style w:type="character" w:customStyle="1" w:styleId="Nadpis8Char">
    <w:name w:val="Nadpis 8 Char"/>
    <w:basedOn w:val="DefaultParagraphFont"/>
    <w:link w:val="Heading8"/>
    <w:uiPriority w:val="9"/>
    <w:semiHidden/>
    <w:rsid w:val="00462C5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semiHidden/>
    <w:rsid w:val="00462C54"/>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0B6DBE"/>
    <w:pPr>
      <w:spacing w:after="0" w:line="240" w:lineRule="auto"/>
    </w:pPr>
    <w:rPr>
      <w:rFonts w:ascii="Arial" w:hAnsi="Arial"/>
    </w:rPr>
  </w:style>
  <w:style w:type="character" w:customStyle="1" w:styleId="Nevyeenzmnka2">
    <w:name w:val="Nevyřešená zmínka2"/>
    <w:basedOn w:val="DefaultParagraphFont"/>
    <w:uiPriority w:val="99"/>
    <w:semiHidden/>
    <w:unhideWhenUsed/>
    <w:rsid w:val="007864E2"/>
    <w:rPr>
      <w:color w:val="605E5C"/>
      <w:shd w:val="clear" w:color="auto" w:fill="E1DFDD"/>
    </w:rPr>
  </w:style>
  <w:style w:type="paragraph" w:customStyle="1" w:styleId="title-article-norm">
    <w:name w:val="title-article-norm"/>
    <w:basedOn w:val="Normal"/>
    <w:rsid w:val="001C4591"/>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stitle-article-norm">
    <w:name w:val="stitle-article-norm"/>
    <w:basedOn w:val="Normal"/>
    <w:rsid w:val="001C4591"/>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parag">
    <w:name w:val="no-parag"/>
    <w:basedOn w:val="DefaultParagraphFont"/>
    <w:rsid w:val="001C4591"/>
  </w:style>
  <w:style w:type="paragraph" w:customStyle="1" w:styleId="norm">
    <w:name w:val="norm"/>
    <w:basedOn w:val="Normal"/>
    <w:rsid w:val="001C4591"/>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modref">
    <w:name w:val="modref"/>
    <w:basedOn w:val="Normal"/>
    <w:rsid w:val="001C4591"/>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epname">
    <w:name w:val="ep_name"/>
    <w:basedOn w:val="DefaultParagraphFont"/>
    <w:rsid w:val="008D3FD7"/>
  </w:style>
  <w:style w:type="character" w:customStyle="1" w:styleId="epicon">
    <w:name w:val="ep_icon"/>
    <w:basedOn w:val="DefaultParagraphFont"/>
    <w:rsid w:val="008D3FD7"/>
  </w:style>
  <w:style w:type="character" w:customStyle="1" w:styleId="epformat">
    <w:name w:val="ep_format"/>
    <w:basedOn w:val="DefaultParagraphFont"/>
    <w:rsid w:val="008D3FD7"/>
  </w:style>
  <w:style w:type="character" w:styleId="PlaceholderText">
    <w:name w:val="Placeholder Text"/>
    <w:basedOn w:val="DefaultParagraphFont"/>
    <w:uiPriority w:val="99"/>
    <w:semiHidden/>
    <w:rsid w:val="00944A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header" Target="header2.xm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9"/>
        <w:category>
          <w:name w:val="Obecné"/>
          <w:gallery w:val="placeholder"/>
        </w:category>
        <w:types>
          <w:type w:val="bbPlcHdr"/>
        </w:types>
        <w:behaviors>
          <w:behavior w:val="content"/>
        </w:behaviors>
        <w:guid w:val="{1C4AE5EB-B9B6-4564-A331-5F19FDA36668}"/>
      </w:docPartPr>
      <w:docPartBody>
        <w:p w:rsidR="0058714F">
          <w:r w:rsidRPr="00BB3C4E">
            <w:rPr>
              <w:rStyle w:val="Placeholder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E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5D39-785D-4C87-85ED-91687F9C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156</TotalTime>
  <Pages>10</Pages>
  <Words>2324</Words>
  <Characters>13718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2021-12-02T10:39:00Z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