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22909" w:rsidRPr="00322909" w:rsidP="00322909">
      <w:pPr>
        <w:pStyle w:val="Heading4"/>
        <w:rPr>
          <w:sz w:val="52"/>
          <w:szCs w:val="52"/>
        </w:rPr>
      </w:pPr>
      <w:bookmarkStart w:id="0" w:name="_Toc409184143"/>
      <w:bookmarkStart w:id="1" w:name="_GoBack"/>
      <w:bookmarkEnd w:id="1"/>
      <w:r w:rsidRPr="00322909">
        <w:rPr>
          <w:sz w:val="52"/>
          <w:szCs w:val="52"/>
        </w:rPr>
        <w:t>Formulář pro odpovědi na konzultační otázky</w:t>
      </w:r>
      <w:bookmarkEnd w:id="0"/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4252"/>
        <w:gridCol w:w="4001"/>
      </w:tblGrid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79646" w:themeFill="accent6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č.</w:t>
            </w:r>
          </w:p>
        </w:tc>
        <w:tc>
          <w:tcPr>
            <w:tcW w:w="4252" w:type="dxa"/>
            <w:shd w:val="clear" w:color="auto" w:fill="F79646" w:themeFill="accent6"/>
          </w:tcPr>
          <w:p w:rsidR="00322909" w:rsidRPr="00802042" w:rsidP="00BC38F6">
            <w:pPr>
              <w:jc w:val="center"/>
              <w:rPr>
                <w:b/>
                <w:sz w:val="40"/>
                <w:szCs w:val="40"/>
              </w:rPr>
            </w:pPr>
            <w:r w:rsidRPr="00802042">
              <w:rPr>
                <w:b/>
                <w:sz w:val="40"/>
                <w:szCs w:val="40"/>
              </w:rPr>
              <w:t>Znění otázky</w:t>
            </w:r>
          </w:p>
        </w:tc>
        <w:tc>
          <w:tcPr>
            <w:tcW w:w="4001" w:type="dxa"/>
            <w:shd w:val="clear" w:color="auto" w:fill="F79646" w:themeFill="accent6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Odpověď</w:t>
            </w: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bylo žádoucí rozšířit oblast působnosti Kapitoly IV. i na další poskytovatele platebních služeb?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1.1.1.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na jaké a z jakých důvodů?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0E6D88" w:rsidP="00BC38F6">
            <w:pPr>
              <w:jc w:val="center"/>
              <w:rPr>
                <w:b/>
              </w:rPr>
            </w:pPr>
            <w:r w:rsidRPr="000E6D88">
              <w:rPr>
                <w:b/>
              </w:rPr>
              <w:t>1.2.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Doporučili byste vynětí některých z uvedených subjektů z působnosti Směrnice?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0E6D88" w:rsidP="00BC38F6">
            <w:pPr>
              <w:jc w:val="center"/>
              <w:rPr>
                <w:b/>
              </w:rPr>
            </w:pPr>
            <w:r w:rsidRPr="000E6D88">
              <w:rPr>
                <w:b/>
              </w:rPr>
              <w:t>1.2.1.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kterých subjektů by se vynětí mělo týkat a proč?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1.2.2.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doporučili byste neuplatňovat na dotyčné subjekty celou Směrnici nebo jen některé části, případně jaké?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bylo vhodné rozšířit oblast působnosti Směrnice i na jiné platební účty než platební účty spotřebitelů?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1.3.1.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doporučujete uplatňovat na tako</w:t>
            </w:r>
            <w:r>
              <w:rPr>
                <w:sz w:val="20"/>
                <w:szCs w:val="20"/>
              </w:rPr>
              <w:t>vé platební účty celou Směrnici</w:t>
            </w:r>
            <w:r w:rsidRPr="00802042">
              <w:rPr>
                <w:sz w:val="20"/>
                <w:szCs w:val="20"/>
              </w:rPr>
              <w:t xml:space="preserve"> nebo jen některé její části, případně jaké?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bylo vhodné rozšířit oblast působnosti Směrnice i na platební účty, které nabízí omezenější platební funkce než platební účty umožňující provádění transakc</w:t>
            </w:r>
            <w:r w:rsidR="00726C69">
              <w:rPr>
                <w:sz w:val="20"/>
                <w:szCs w:val="20"/>
              </w:rPr>
              <w:t>í vymezených v čl.</w:t>
            </w:r>
            <w:r w:rsidR="00D200F6">
              <w:rPr>
                <w:sz w:val="20"/>
                <w:szCs w:val="20"/>
              </w:rPr>
              <w:t xml:space="preserve"> 1 odst.</w:t>
            </w:r>
            <w:r w:rsidRPr="00802042">
              <w:rPr>
                <w:sz w:val="20"/>
                <w:szCs w:val="20"/>
              </w:rPr>
              <w:t xml:space="preserve"> 6 Směrnice?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1.4.1.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účty s jakými konkrétními platebními funkcemi by měly být zahrnuty do působnosti Směrnice?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BD4B4" w:themeFill="accent6" w:themeFillTint="66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1.4.1.1.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Navrhujete uplatňovat na tyto platební účty s omezenějšími funkcemi celou Směrnici nebo jen některé její části, případně jaké?</w:t>
            </w:r>
          </w:p>
        </w:tc>
        <w:tc>
          <w:tcPr>
            <w:tcW w:w="4001" w:type="dxa"/>
            <w:shd w:val="clear" w:color="auto" w:fill="FBD4B4" w:themeFill="accent6" w:themeFillTint="66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b/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Vezmeme-li v úvahu kritéria nejvyšších nákladů pro spotřebitele a nejčastějšího užívání, jaké služby si myslíte, že by při tvorbě prozatímního seznamu měly být zahrnuty do seznamu nejreprezentativnějších služeb?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 xml:space="preserve">Co si představujete pod </w:t>
            </w:r>
            <w:r w:rsidRPr="00802042">
              <w:rPr>
                <w:sz w:val="20"/>
                <w:szCs w:val="20"/>
              </w:rPr>
              <w:t>pojmem ,,společně</w:t>
            </w:r>
            <w:r w:rsidRPr="00802042">
              <w:rPr>
                <w:sz w:val="20"/>
                <w:szCs w:val="20"/>
              </w:rPr>
              <w:t xml:space="preserve"> s“ uvedeným v diskreci?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0E6D88" w:rsidP="00BC38F6">
            <w:pPr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Považujete za vhodnější poskytovat dokument výpis</w:t>
            </w:r>
            <w:r w:rsidR="00AA3F38">
              <w:rPr>
                <w:sz w:val="20"/>
                <w:szCs w:val="20"/>
              </w:rPr>
              <w:t xml:space="preserve"> poplatků </w:t>
            </w:r>
            <w:r w:rsidRPr="00802042">
              <w:rPr>
                <w:sz w:val="20"/>
                <w:szCs w:val="20"/>
              </w:rPr>
              <w:t>dohromady s jinými informacemi nebo zvlášť jako samostatný dokument?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2.3.1.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V případě, že jste zvolili variantu poskytování výpisu</w:t>
            </w:r>
            <w:r w:rsidR="00702003">
              <w:rPr>
                <w:sz w:val="20"/>
                <w:szCs w:val="20"/>
              </w:rPr>
              <w:t xml:space="preserve"> poplatků</w:t>
            </w:r>
            <w:r w:rsidRPr="00802042">
              <w:rPr>
                <w:sz w:val="20"/>
                <w:szCs w:val="20"/>
              </w:rPr>
              <w:t xml:space="preserve"> dohromady s jinými informacemi, jaké informace si myslíte, že by bylo vhodné poskytovat společně s</w:t>
            </w:r>
            <w:r w:rsidR="00702003">
              <w:rPr>
                <w:sz w:val="20"/>
                <w:szCs w:val="20"/>
              </w:rPr>
              <w:t> </w:t>
            </w:r>
            <w:r w:rsidRPr="00802042">
              <w:rPr>
                <w:sz w:val="20"/>
                <w:szCs w:val="20"/>
              </w:rPr>
              <w:t>výpisem</w:t>
            </w:r>
            <w:r w:rsidR="00702003">
              <w:rPr>
                <w:sz w:val="20"/>
                <w:szCs w:val="20"/>
              </w:rPr>
              <w:t xml:space="preserve"> poplatků</w:t>
            </w:r>
            <w:r w:rsidRPr="00802042">
              <w:rPr>
                <w:sz w:val="20"/>
                <w:szCs w:val="20"/>
              </w:rPr>
              <w:t>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Směrnice dává členským státům pravomoc stanovit, kolikrát ročně a v jakých časových intervalech má být výpis</w:t>
            </w:r>
            <w:r w:rsidR="00E108CD">
              <w:rPr>
                <w:sz w:val="20"/>
                <w:szCs w:val="20"/>
              </w:rPr>
              <w:t xml:space="preserve"> poplatků </w:t>
            </w:r>
            <w:r w:rsidRPr="00802042">
              <w:rPr>
                <w:sz w:val="20"/>
                <w:szCs w:val="20"/>
              </w:rPr>
              <w:t>spotřebiteli poskytován?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Jak si myslíte, že by ČR měla transponovat</w:t>
            </w:r>
            <w:r w:rsidR="001A5874">
              <w:rPr>
                <w:sz w:val="20"/>
                <w:szCs w:val="20"/>
              </w:rPr>
              <w:t xml:space="preserve"> níže uvedenou diskreci v čl. 7 odst. </w:t>
            </w:r>
            <w:r w:rsidRPr="00802042">
              <w:rPr>
                <w:sz w:val="20"/>
                <w:szCs w:val="20"/>
              </w:rPr>
              <w:t>1 z hlediska právního řádu? Při vyjednávání Směrnice se objevily různé názory ze strany členských států, jakým způsobem přistoupit k transpozici dané povinnosti (akreditac</w:t>
            </w:r>
            <w:r w:rsidR="00990014">
              <w:rPr>
                <w:sz w:val="20"/>
                <w:szCs w:val="20"/>
              </w:rPr>
              <w:t xml:space="preserve">e, zákonný standard pro všechny srovnávací internetové </w:t>
            </w:r>
            <w:r w:rsidRPr="00802042">
              <w:rPr>
                <w:sz w:val="20"/>
                <w:szCs w:val="20"/>
              </w:rPr>
              <w:t xml:space="preserve">stránky, provoz veřejným orgánem atd.). 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2.6.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Preferujete provozování srovnávacích </w:t>
            </w:r>
            <w:r w:rsidRPr="00802042">
              <w:rPr>
                <w:sz w:val="20"/>
                <w:szCs w:val="20"/>
              </w:rPr>
              <w:t>stránek zabezpečené soukromým subjektem nebo veřejným orgánem?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2.6.1.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V případě, že preferujete provozování</w:t>
            </w:r>
            <w:r w:rsidR="00745352">
              <w:rPr>
                <w:sz w:val="20"/>
                <w:szCs w:val="20"/>
              </w:rPr>
              <w:t xml:space="preserve"> srovnávacích</w:t>
            </w:r>
            <w:r w:rsidR="00304426">
              <w:rPr>
                <w:sz w:val="20"/>
                <w:szCs w:val="20"/>
              </w:rPr>
              <w:t xml:space="preserve"> </w:t>
            </w:r>
            <w:r w:rsidRPr="00802042">
              <w:rPr>
                <w:sz w:val="20"/>
                <w:szCs w:val="20"/>
              </w:rPr>
              <w:t>stránek soukromým subjektem, jakým způsobem by měla ČR motivovat soukromé subjekty a jak by mělo být zabezpečeno financování a kontrola? Jak provozování soukromým subjektem zajistit legislativně?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2.6.2.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V případě, že preferujete provozování</w:t>
            </w:r>
            <w:r w:rsidR="004F670C">
              <w:rPr>
                <w:sz w:val="20"/>
                <w:szCs w:val="20"/>
              </w:rPr>
              <w:t xml:space="preserve"> srovnávacích internetových</w:t>
            </w:r>
            <w:r w:rsidRPr="00802042">
              <w:rPr>
                <w:sz w:val="20"/>
                <w:szCs w:val="20"/>
              </w:rPr>
              <w:t xml:space="preserve"> stránek veřejným orgánem, navrhněte </w:t>
            </w:r>
            <w:r w:rsidRPr="00802042">
              <w:rPr>
                <w:sz w:val="20"/>
                <w:szCs w:val="20"/>
              </w:rPr>
              <w:t>prosím konkrétní subjekt</w:t>
            </w:r>
            <w:r w:rsidRPr="00DC2F6C">
              <w:rPr>
                <w:sz w:val="20"/>
                <w:szCs w:val="20"/>
              </w:rPr>
              <w:t xml:space="preserve"> a způsob, jakým by provozování internetových stránek mělo být financováno</w:t>
            </w:r>
            <w:r w:rsidRPr="00802042">
              <w:rPr>
                <w:sz w:val="20"/>
                <w:szCs w:val="20"/>
              </w:rPr>
              <w:t>.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2.7.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Jak by měla být právně vymezena o</w:t>
            </w:r>
            <w:r w:rsidR="0079246D">
              <w:rPr>
                <w:sz w:val="20"/>
                <w:szCs w:val="20"/>
              </w:rPr>
              <w:t xml:space="preserve">soba provozovatele srovnávacích internetových </w:t>
            </w:r>
            <w:r w:rsidRPr="00802042">
              <w:rPr>
                <w:sz w:val="20"/>
                <w:szCs w:val="20"/>
              </w:rPr>
              <w:t>stránek?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2.8.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bylo vhodné, aby srovnávací internetové stránky porovnávaly i další okolnosti?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2.8.1.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jaké další okolnosti související s úrovní nabízených služeb by měly být porovnávány? Prosím uveďte konkrétní příklady a zdůvodněte, proč si myslíte, že budou pro spotřebitele přínosné.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2.9.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Jak by měla ČR zabezpečit, z hlediska legislativy, aby spotřebitelé byli informováni o dostupnosti srovnávacích internetových stránek?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2.10.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Jakým způsobem by podle Vašeho úsudku měla být propagace financována?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bylo vhodné stanovit pro provádění služby změny účtu odlišný postup, než který je stanovený v čl. 10 odst. 2 až 6?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3.1.1.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uveďte Vámi navrhovaný postup pro provádění služby změny účtu.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3.1.2.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Jak legislativně zajistit uplatňování alternativního postupu při změně účtu?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je žádoucí, aby ČR vyžadovala od spotřebitele při změně účtu písemnou formu zmocnění?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3.2.1.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proč?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v případě, kdy převádějící poskytovatel přestane na základě zmocnění přijímat příchozí úhrady a inkasa na platební účet spotřebitele a nevyužívá systém umožňující automatické přesměrování příchozích úhrad a inkas, bylo vhodné uložit převádějícímu poskytovateli povinnost informovat plátce úhrad a příjemce inkas o důvodech nepřijetí platební transakce?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3.3.1.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jakým způsobem (procesně, v jaké lhůtě,…) by to mělo probíhat?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A13C12" w:rsidP="00BC38F6">
            <w:pPr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Jakým způsobem zabezpeči</w:t>
            </w:r>
            <w:r w:rsidR="000418C4">
              <w:rPr>
                <w:sz w:val="20"/>
                <w:szCs w:val="20"/>
              </w:rPr>
              <w:t xml:space="preserve">t, aby poskytovatel nepřipsal </w:t>
            </w:r>
            <w:r w:rsidRPr="00802042">
              <w:rPr>
                <w:sz w:val="20"/>
                <w:szCs w:val="20"/>
              </w:rPr>
              <w:t>příchozí úhrady na existující platební účet? Dochází k tomu v některých situacích i dnes?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1F586D" w:rsidP="00BC38F6">
            <w:pPr>
              <w:jc w:val="center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ČR měla požadovat, aby poskytovatelé platebních služeb spotřebitelům poskytli i jiné informace o změně účtu než je uvedeno výše v čl. 14 odst. 1 bodech a) – e)?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1F586D" w:rsidP="00BC38F6">
            <w:pPr>
              <w:jc w:val="center"/>
              <w:rPr>
                <w:b/>
              </w:rPr>
            </w:pPr>
            <w:r>
              <w:rPr>
                <w:b/>
              </w:rPr>
              <w:t>3.5.1.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které další informace by podle Vašeho úsudku měly být navíc uváděny? Uveďte prosím konkrétní příklady.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8F6588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8F6588" w:rsidP="00BC38F6">
            <w:pPr>
              <w:jc w:val="center"/>
              <w:rPr>
                <w:b/>
              </w:rPr>
            </w:pPr>
            <w:r>
              <w:rPr>
                <w:b/>
              </w:rPr>
              <w:t>3.6.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8F6588" w:rsidRPr="00802042" w:rsidP="00BC3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veďte prosím, k jakému časovému okamžiku a jakou formou by měly být informace podle čl. 14 odst. 1 poskytnuty?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8F6588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1F586D" w:rsidP="00BC38F6">
            <w:pPr>
              <w:jc w:val="center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C53FCA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 xml:space="preserve">Jakým způsobem by podle Vašeho názoru měla být diskrece využita? Považuje za žádoucí, aby </w:t>
            </w:r>
            <w:r w:rsidR="00C53FCA">
              <w:rPr>
                <w:sz w:val="20"/>
                <w:szCs w:val="20"/>
              </w:rPr>
              <w:t xml:space="preserve">základní platební účet </w:t>
            </w:r>
            <w:r w:rsidRPr="00802042">
              <w:rPr>
                <w:sz w:val="20"/>
                <w:szCs w:val="20"/>
              </w:rPr>
              <w:t>spotřebitelům nabízely všechny úvěrové instituce nebo pouze takový počet, který zajistí přístup pro všechny spotřebitele na daném území?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1F586D" w:rsidP="00BC38F6">
            <w:pPr>
              <w:jc w:val="center"/>
              <w:rPr>
                <w:b/>
              </w:rPr>
            </w:pPr>
            <w:r>
              <w:rPr>
                <w:b/>
              </w:rPr>
              <w:t>4.1.1.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Jakým způsobem vymezit okruh institucí, které zajistí přístup k</w:t>
            </w:r>
            <w:r w:rsidR="00D81DA1">
              <w:rPr>
                <w:sz w:val="20"/>
                <w:szCs w:val="20"/>
              </w:rPr>
              <w:t xml:space="preserve"> základním </w:t>
            </w:r>
            <w:r w:rsidRPr="00802042">
              <w:rPr>
                <w:sz w:val="20"/>
                <w:szCs w:val="20"/>
              </w:rPr>
              <w:t>plat</w:t>
            </w:r>
            <w:r w:rsidR="00D81DA1">
              <w:rPr>
                <w:sz w:val="20"/>
                <w:szCs w:val="20"/>
              </w:rPr>
              <w:t xml:space="preserve">ebním účtům </w:t>
            </w:r>
            <w:r w:rsidRPr="00802042">
              <w:rPr>
                <w:sz w:val="20"/>
                <w:szCs w:val="20"/>
              </w:rPr>
              <w:t>pro všechny spotřebitele, a nenarušit hospodářskou soutěž? Jak by k danému vymezení měl přistoupit a jaká kritéria stanovit právní řád?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bylo vhodné požadovat na spotřebitelích prokázání skutečného zájmu na otevření základního platebního účtu?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4.2.1.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prosím uveďte konkrétní kritéria, která podle Vašeho úsudku považujete za rozhodná při posuzování toho, zda spotřebitel má či nemá skutečný zájem na otev</w:t>
            </w:r>
            <w:r>
              <w:rPr>
                <w:sz w:val="20"/>
                <w:szCs w:val="20"/>
              </w:rPr>
              <w:t>ření základního platebního účtu.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DE9D9" w:themeFill="accent6" w:themeFillTint="33"/>
          </w:tcPr>
          <w:p w:rsidR="00322909" w:rsidP="00BC38F6">
            <w:pPr>
              <w:jc w:val="center"/>
              <w:rPr>
                <w:b/>
              </w:rPr>
            </w:pPr>
            <w:r>
              <w:rPr>
                <w:b/>
              </w:rPr>
              <w:t>4.2.1.1.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322909" w:rsidRPr="00802042" w:rsidP="009761F5">
            <w:pPr>
              <w:rPr>
                <w:sz w:val="20"/>
                <w:szCs w:val="20"/>
              </w:rPr>
            </w:pPr>
            <w:r w:rsidRPr="00DC2F6C">
              <w:rPr>
                <w:sz w:val="20"/>
                <w:szCs w:val="20"/>
              </w:rPr>
              <w:t>Domníváte se, že by kritéria rozhodná pro prokazování skutečného zájmu měla být stanovena zákonem</w:t>
            </w:r>
            <w:r w:rsidR="009761F5">
              <w:rPr>
                <w:sz w:val="20"/>
                <w:szCs w:val="20"/>
              </w:rPr>
              <w:t xml:space="preserve">, nebo by měl být </w:t>
            </w:r>
            <w:r w:rsidR="009761F5">
              <w:rPr>
                <w:sz w:val="20"/>
                <w:szCs w:val="20"/>
              </w:rPr>
              <w:t>pojem ,,skutečný</w:t>
            </w:r>
            <w:r w:rsidR="009761F5">
              <w:rPr>
                <w:sz w:val="20"/>
                <w:szCs w:val="20"/>
              </w:rPr>
              <w:t xml:space="preserve"> zájem“ </w:t>
            </w:r>
            <w:r w:rsidR="009761F5">
              <w:rPr>
                <w:sz w:val="20"/>
                <w:szCs w:val="20"/>
              </w:rPr>
              <w:t>vykládán aplikační praxí?</w:t>
            </w:r>
          </w:p>
        </w:tc>
        <w:tc>
          <w:tcPr>
            <w:tcW w:w="4001" w:type="dxa"/>
            <w:shd w:val="clear" w:color="auto" w:fill="FDE9D9" w:themeFill="accent6" w:themeFillTint="33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DE9D9" w:themeFill="accent6" w:themeFillTint="33"/>
          </w:tcPr>
          <w:p w:rsidR="009761F5" w:rsidP="00BC38F6">
            <w:pPr>
              <w:jc w:val="center"/>
              <w:rPr>
                <w:b/>
              </w:rPr>
            </w:pPr>
            <w:r>
              <w:rPr>
                <w:b/>
              </w:rPr>
              <w:t>4.2.1.2.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9761F5" w:rsidRPr="00DC2F6C" w:rsidP="0097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 prosím, jak by měl být požadavek na prokázání skutečného zájmu dohlížen?</w:t>
            </w:r>
          </w:p>
        </w:tc>
        <w:tc>
          <w:tcPr>
            <w:tcW w:w="4001" w:type="dxa"/>
            <w:shd w:val="clear" w:color="auto" w:fill="FDE9D9" w:themeFill="accent6" w:themeFillTint="33"/>
          </w:tcPr>
          <w:p w:rsidR="009761F5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RPr="00802042" w:rsidP="00CF1745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ČR měla úvěrovým institucím povolit, aby zamítly žádost o </w:t>
            </w:r>
            <w:r w:rsidR="00CF1745">
              <w:rPr>
                <w:sz w:val="20"/>
                <w:szCs w:val="20"/>
              </w:rPr>
              <w:t xml:space="preserve">základní platební účet, </w:t>
            </w:r>
            <w:r w:rsidRPr="00802042">
              <w:rPr>
                <w:sz w:val="20"/>
                <w:szCs w:val="20"/>
              </w:rPr>
              <w:t>má-li spotřebitel již platební účet v témže členském státě veden?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</w:rPr>
            </w:pPr>
            <w:r>
              <w:rPr>
                <w:b/>
              </w:rPr>
              <w:t>4.3.1.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DC2F6C">
              <w:rPr>
                <w:sz w:val="20"/>
                <w:szCs w:val="20"/>
              </w:rPr>
              <w:t>Pokud ano, prosím uveďte, jak by podle Vašeho úsudku úvěrové instituce měly zjišťovat, zda spotřebitel již má platební účet v témže členském státě veden?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3B534C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 xml:space="preserve">Považujete za vhodné, aby ČR stanovila další případy, kdy bude úvěrová instituce povinna nebo oprávněna zamítnout žádost o </w:t>
            </w:r>
            <w:r w:rsidR="003B534C">
              <w:rPr>
                <w:sz w:val="20"/>
                <w:szCs w:val="20"/>
              </w:rPr>
              <w:t xml:space="preserve">základní </w:t>
            </w:r>
            <w:r w:rsidRPr="00802042">
              <w:rPr>
                <w:sz w:val="20"/>
                <w:szCs w:val="20"/>
              </w:rPr>
              <w:t>platební účet?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4.4.1.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jaké další případy by podle Vašeho úsudku měly vést k zamítnutí žádosti o přístup k</w:t>
            </w:r>
            <w:r w:rsidR="00FB0AEE">
              <w:rPr>
                <w:sz w:val="20"/>
                <w:szCs w:val="20"/>
              </w:rPr>
              <w:t xml:space="preserve"> základnímu </w:t>
            </w:r>
            <w:r w:rsidRPr="00802042">
              <w:rPr>
                <w:sz w:val="20"/>
                <w:szCs w:val="20"/>
              </w:rPr>
              <w:t>platebnímu účtu?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D35E4B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 xml:space="preserve">Domníváte se, že by ČR měla úvěrovým institucím uložit povinnost </w:t>
            </w:r>
            <w:r w:rsidR="00D35E4B">
              <w:rPr>
                <w:sz w:val="20"/>
                <w:szCs w:val="20"/>
              </w:rPr>
              <w:t>poskytovat k základnímu platebnímu</w:t>
            </w:r>
            <w:r w:rsidRPr="00802042">
              <w:rPr>
                <w:sz w:val="20"/>
                <w:szCs w:val="20"/>
              </w:rPr>
              <w:t xml:space="preserve"> účtu doplňkové služby?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4.5.1.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802042" w:rsidP="006E1B6C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jaké doplňkové služby by podle Vašeho úsudku měly být nabízeny k</w:t>
            </w:r>
            <w:r w:rsidR="006E1B6C">
              <w:rPr>
                <w:sz w:val="20"/>
                <w:szCs w:val="20"/>
              </w:rPr>
              <w:t xml:space="preserve"> základnímu </w:t>
            </w:r>
            <w:r w:rsidRPr="00802042">
              <w:rPr>
                <w:sz w:val="20"/>
                <w:szCs w:val="20"/>
              </w:rPr>
              <w:t>platebnímu účtu?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4.6.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ČR měla u základního</w:t>
            </w:r>
            <w:r w:rsidR="002256BC">
              <w:rPr>
                <w:sz w:val="20"/>
                <w:szCs w:val="20"/>
              </w:rPr>
              <w:t xml:space="preserve"> platebního</w:t>
            </w:r>
            <w:r w:rsidRPr="00802042">
              <w:rPr>
                <w:sz w:val="20"/>
                <w:szCs w:val="20"/>
              </w:rPr>
              <w:t xml:space="preserve"> účtu stanovit minimální počet operací, za které budou úvěrové instituce oprávněny účtovat přiměřený poplatek, a nad stanovený počet umožnit účtovat jakýkoli poplatek v souladu s obvyklou cenovou politikou dané instituce?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4.6.1.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kolik transakcí by měl stanovený minimální počet zahrnovat? Případně jak daný počet stanovit legislativně?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4.7.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802042" w:rsidP="00673C32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Domníváte se, že by ČR měla úvěrovým institucím umožnit, aby na žá</w:t>
            </w:r>
            <w:r w:rsidR="00673C32">
              <w:rPr>
                <w:sz w:val="20"/>
                <w:szCs w:val="20"/>
              </w:rPr>
              <w:t xml:space="preserve">dost spotřebitele poskytovaly u základního </w:t>
            </w:r>
            <w:r w:rsidRPr="00802042">
              <w:rPr>
                <w:sz w:val="20"/>
                <w:szCs w:val="20"/>
              </w:rPr>
              <w:t>platebního účtu možnost přečerpání?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322909" w:rsidRPr="00C155CC" w:rsidP="00BC38F6">
            <w:pPr>
              <w:jc w:val="center"/>
              <w:rPr>
                <w:b/>
              </w:rPr>
            </w:pPr>
            <w:r>
              <w:rPr>
                <w:b/>
              </w:rPr>
              <w:t>4.7.1.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802042">
              <w:rPr>
                <w:sz w:val="20"/>
                <w:szCs w:val="20"/>
              </w:rPr>
              <w:t>Pokud ano, měly by být stanoveny maximální lhůta a výše přečerpání? Jak je stanovit legislativně?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4.8.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RPr="0059667A" w:rsidP="00BC38F6">
            <w:pPr>
              <w:rPr>
                <w:sz w:val="20"/>
                <w:szCs w:val="20"/>
              </w:rPr>
            </w:pPr>
            <w:r w:rsidRPr="0059667A">
              <w:rPr>
                <w:sz w:val="20"/>
                <w:szCs w:val="20"/>
              </w:rPr>
              <w:t>Domníváte se, že uvedené ustanovení dává členskému státu možnost regulatorní volby mezi přiměřeným a nulovým poplatkem? Jaké důvody vás vedou k takovému výkladu?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</w:rPr>
            </w:pPr>
            <w:r>
              <w:rPr>
                <w:b/>
              </w:rPr>
              <w:t>4.9.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RPr="00802042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Domníváte-li se, že členský stát má možnost regulatorní volby, měl by platební účet se základními prvky být nabízený bezplatně nebo za přiměřený poplatek? Uveďte prosím relevantní důvody</w:t>
            </w:r>
            <w:r>
              <w:t>.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</w:rPr>
            </w:pPr>
            <w:r>
              <w:rPr>
                <w:b/>
              </w:rPr>
              <w:t>4.10.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Jakým způsobem by měl být v právním řádu stanoven přiměřený poplatek? Kdo a jak by jej měl stanovit?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4.11.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Jaký subjekt by podle Vašeho názoru měl dohlížet na dodržování povinnosti úvěrových institucí poskytovat služby bezplatně, resp. za přiměřený poplatek?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4.12.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Uveďte, prosím, na základě čeho byste doporučili posuzovat úroveň bankovního začlenění spotřebitele.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4.13.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Domníváte se, že by bylo vhodné zavést odlišné systémy pro stanovení cen v závislosti na úrovni bankovního začlenění spotřebitele?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C15E2C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C15E2C" w:rsidP="00BC38F6">
            <w:pPr>
              <w:jc w:val="center"/>
              <w:rPr>
                <w:b/>
              </w:rPr>
            </w:pPr>
            <w:r>
              <w:rPr>
                <w:b/>
              </w:rPr>
              <w:t>4.13.1.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C15E2C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Pokud ano, prosím uveďte, na jakou skupinu obyvatel by se měly vztahovat. Jak tuto skupinu legislativně vymezit?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C15E2C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C15E2C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C15E2C" w:rsidP="00BC38F6">
            <w:pPr>
              <w:jc w:val="center"/>
              <w:rPr>
                <w:b/>
              </w:rPr>
            </w:pPr>
            <w:r>
              <w:rPr>
                <w:b/>
              </w:rPr>
              <w:t>4.13.2.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C15E2C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Pokud ano, jak by měl daný systém vypadat? Jaká přístupová kritéria a cenové mechanismy by měl uplatňovat?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C15E2C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4.14.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>Domníváte se, že je žádoucí stanovit další případy vyjma uvedených v písm. a)-e), které by mohly vést k jednostrannému ukončení smlouvy ze strany úvěrové instituce?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C15E2C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FABF8F" w:themeFill="accent6" w:themeFillTint="99"/>
          </w:tcPr>
          <w:p w:rsidR="00C15E2C" w:rsidP="00BC38F6">
            <w:pPr>
              <w:jc w:val="center"/>
              <w:rPr>
                <w:b/>
              </w:rPr>
            </w:pPr>
            <w:r>
              <w:rPr>
                <w:b/>
              </w:rPr>
              <w:t>4.14.1.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C15E2C" w:rsidRPr="00C15E2C" w:rsidP="00BC38F6">
            <w:pPr>
              <w:rPr>
                <w:sz w:val="20"/>
                <w:szCs w:val="20"/>
              </w:rPr>
            </w:pPr>
            <w:r w:rsidRPr="00C15E2C">
              <w:rPr>
                <w:sz w:val="20"/>
                <w:szCs w:val="20"/>
              </w:rPr>
              <w:t xml:space="preserve">Pokud ano, nastiňte, o jaké případy by se mělo jednat a proč? Argumenty, prosím, uveďte zejména s ohledem na obecnou právní úpravu odstoupení </w:t>
            </w:r>
            <w:r w:rsidRPr="00C15E2C">
              <w:rPr>
                <w:sz w:val="20"/>
                <w:szCs w:val="20"/>
              </w:rPr>
              <w:t>od smlouvy.</w:t>
            </w:r>
          </w:p>
        </w:tc>
        <w:tc>
          <w:tcPr>
            <w:tcW w:w="4001" w:type="dxa"/>
            <w:shd w:val="clear" w:color="auto" w:fill="FABF8F" w:themeFill="accent6" w:themeFillTint="99"/>
          </w:tcPr>
          <w:p w:rsidR="00C15E2C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4.15.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3D7BB2" w:rsidP="00BC38F6">
            <w:pPr>
              <w:rPr>
                <w:sz w:val="20"/>
                <w:szCs w:val="20"/>
              </w:rPr>
            </w:pPr>
            <w:r w:rsidRPr="003D7BB2">
              <w:rPr>
                <w:sz w:val="20"/>
                <w:szCs w:val="20"/>
              </w:rPr>
              <w:t>Jaká vhodná konkrétní opatření by měla být přijata, aby došlo k zabezpečení informovanosti o výše uvedených požadavcích?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D7BB2" w:rsidP="00BC38F6">
            <w:pPr>
              <w:jc w:val="center"/>
              <w:rPr>
                <w:b/>
              </w:rPr>
            </w:pPr>
            <w:r>
              <w:rPr>
                <w:b/>
              </w:rPr>
              <w:t>4.16.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D7BB2" w:rsidRPr="003D7BB2" w:rsidP="00BC38F6">
            <w:pPr>
              <w:rPr>
                <w:sz w:val="20"/>
                <w:szCs w:val="20"/>
              </w:rPr>
            </w:pPr>
            <w:r w:rsidRPr="003D7BB2">
              <w:rPr>
                <w:sz w:val="20"/>
                <w:szCs w:val="20"/>
              </w:rPr>
              <w:t>Jaký subjekt by podle Vašeho úsudku měl být zodpovědný za zabezpečení otázky informovanosti?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D7BB2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D7BB2" w:rsidP="00BC38F6">
            <w:pPr>
              <w:jc w:val="center"/>
              <w:rPr>
                <w:b/>
              </w:rPr>
            </w:pPr>
            <w:r>
              <w:rPr>
                <w:b/>
              </w:rPr>
              <w:t>4.17.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D7BB2" w:rsidRPr="003D7BB2" w:rsidP="00BC38F6">
            <w:pPr>
              <w:rPr>
                <w:sz w:val="20"/>
                <w:szCs w:val="20"/>
              </w:rPr>
            </w:pPr>
            <w:r w:rsidRPr="003D7BB2">
              <w:rPr>
                <w:sz w:val="20"/>
                <w:szCs w:val="20"/>
              </w:rPr>
              <w:t>Máte představu, kdo by měl financovat náklady spojené s informovaností spotřebitelů</w:t>
            </w:r>
            <w:r w:rsidRPr="003D7BB2">
              <w:rPr>
                <w:sz w:val="20"/>
                <w:szCs w:val="20"/>
              </w:rPr>
              <w:softHyphen/>
              <w:t>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D7BB2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3D7BB2" w:rsidP="00BC38F6">
            <w:pPr>
              <w:rPr>
                <w:sz w:val="20"/>
                <w:szCs w:val="20"/>
              </w:rPr>
            </w:pPr>
            <w:r w:rsidRPr="003D7BB2">
              <w:rPr>
                <w:sz w:val="20"/>
                <w:szCs w:val="20"/>
              </w:rPr>
              <w:t>Domníváte se, že je pro případ odmítnutí přístupu spotřebitele ke zpoplatněnému platebnímu účtu vhodné zavádět mechanismus pro bezplatný přístup k základnímu platebnímu účtu? Jaké výhody by ze zavedení mechanismu měly plynout?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BF44C1" w:rsidP="00BC38F6">
            <w:pPr>
              <w:jc w:val="center"/>
              <w:rPr>
                <w:b/>
              </w:rPr>
            </w:pPr>
            <w:r>
              <w:rPr>
                <w:b/>
              </w:rPr>
              <w:t>5.1.1.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RPr="003D7BB2" w:rsidP="00BC38F6">
            <w:pPr>
              <w:rPr>
                <w:sz w:val="20"/>
                <w:szCs w:val="20"/>
              </w:rPr>
            </w:pPr>
            <w:r w:rsidRPr="003D7BB2">
              <w:rPr>
                <w:sz w:val="20"/>
                <w:szCs w:val="20"/>
              </w:rPr>
              <w:t>Jak by měl případně systém podle článku 25 fungovat?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Tr="00BC38F6">
        <w:tblPrEx>
          <w:tblW w:w="0" w:type="auto"/>
          <w:tblLayout w:type="fixed"/>
          <w:tblLook w:val="04A0"/>
        </w:tblPrEx>
        <w:tc>
          <w:tcPr>
            <w:tcW w:w="959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4252" w:type="dxa"/>
            <w:shd w:val="clear" w:color="auto" w:fill="E36C0A" w:themeFill="accent6" w:themeFillShade="BF"/>
          </w:tcPr>
          <w:p w:rsidR="00322909" w:rsidRPr="003D7BB2" w:rsidP="00BC38F6">
            <w:pPr>
              <w:rPr>
                <w:sz w:val="20"/>
                <w:szCs w:val="20"/>
              </w:rPr>
            </w:pPr>
            <w:r w:rsidRPr="003D7BB2">
              <w:rPr>
                <w:sz w:val="20"/>
                <w:szCs w:val="20"/>
              </w:rPr>
              <w:t>Jaký je podle Vašeho úsudku vztah mezi čl. 18 odst. 4 a čl. 25? Uveďte, prosím, zda a případně jakým způsobem by podle Vás mohly současně fungovat systémy pro stanovování cen podle čl. 18 odst. 4 a zvláštní mechanismus podle čl. 25.</w:t>
            </w:r>
          </w:p>
        </w:tc>
        <w:tc>
          <w:tcPr>
            <w:tcW w:w="4001" w:type="dxa"/>
            <w:shd w:val="clear" w:color="auto" w:fill="E36C0A" w:themeFill="accent6" w:themeFillShade="BF"/>
          </w:tcPr>
          <w:p w:rsidR="00322909" w:rsidP="00BC38F6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322909" w:rsidRPr="00E33AE7" w:rsidP="00322909">
      <w:pPr>
        <w:pStyle w:val="Heading4"/>
        <w:rPr>
          <w:szCs w:val="24"/>
        </w:rPr>
      </w:pPr>
    </w:p>
    <w:p w:rsidR="0015069B"/>
    <w:sectPr w:rsidSect="004C74DF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E35">
    <w:pPr>
      <w:pStyle w:val="Footer"/>
      <w:jc w:val="right"/>
    </w:pPr>
  </w:p>
  <w:p w:rsidR="00FB4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4DF">
    <w:pPr>
      <w:pStyle w:val="Footer"/>
      <w:jc w:val="right"/>
    </w:pPr>
  </w:p>
  <w:p w:rsidR="004C74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09"/>
    <w:pPr>
      <w:spacing w:before="120" w:line="360" w:lineRule="auto"/>
      <w:jc w:val="both"/>
    </w:pPr>
    <w:rPr>
      <w:rFonts w:ascii="Garamond" w:hAnsi="Garamond"/>
      <w:sz w:val="24"/>
    </w:rPr>
  </w:style>
  <w:style w:type="paragraph" w:styleId="Heading4">
    <w:name w:val="heading 4"/>
    <w:aliases w:val="0 - nadpis"/>
    <w:basedOn w:val="Normal"/>
    <w:next w:val="Normal"/>
    <w:link w:val="Nadpis4Char"/>
    <w:uiPriority w:val="9"/>
    <w:unhideWhenUsed/>
    <w:qFormat/>
    <w:rsid w:val="0032290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C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4Char">
    <w:name w:val="Nadpis 4 Char"/>
    <w:aliases w:val="0 - nadpis Char"/>
    <w:basedOn w:val="DefaultParagraphFont"/>
    <w:link w:val="Heading4"/>
    <w:uiPriority w:val="9"/>
    <w:rsid w:val="00322909"/>
    <w:rPr>
      <w:rFonts w:ascii="Garamond" w:hAnsi="Garamond" w:eastAsiaTheme="majorEastAsia" w:cstheme="majorBidi"/>
      <w:b/>
      <w:bCs/>
      <w:iCs/>
      <w:sz w:val="56"/>
    </w:rPr>
  </w:style>
  <w:style w:type="table" w:styleId="TableGrid">
    <w:name w:val="Table Grid"/>
    <w:basedOn w:val="TableNormal"/>
    <w:uiPriority w:val="59"/>
    <w:rsid w:val="003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ZpatChar"/>
    <w:uiPriority w:val="99"/>
    <w:unhideWhenUsed/>
    <w:rsid w:val="003229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322909"/>
    <w:rPr>
      <w:rFonts w:ascii="Garamond" w:hAnsi="Garamond"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2290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22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4C74D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C74D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9083-C14A-4345-BF1D-93D1FBF4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7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2015-01-22T09:08:00Z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2000016365</vt:i4>
  </property>
  <property fmtid="{D5CDD505-2E9C-101B-9397-08002B2CF9AE}" pid="3" name="_AuthorEmail">
    <vt:lpwstr>Jana.Krejci@mfcr.cz</vt:lpwstr>
  </property>
  <property fmtid="{D5CDD505-2E9C-101B-9397-08002B2CF9AE}" pid="4" name="_AuthorEmailDisplayName">
    <vt:lpwstr>Krejčí Jana Ing.</vt:lpwstr>
  </property>
  <property fmtid="{D5CDD505-2E9C-101B-9397-08002B2CF9AE}" pid="5" name="_EmailSubject">
    <vt:lpwstr>Publikace konzultačního materiálu na stránkách MF</vt:lpwstr>
  </property>
  <property fmtid="{D5CDD505-2E9C-101B-9397-08002B2CF9AE}" pid="6" name="_NewReviewCycle">
    <vt:lpwstr/>
  </property>
  <property fmtid="{D5CDD505-2E9C-101B-9397-08002B2CF9AE}" pid="7" name="_PreviousAdHocReviewCycleID">
    <vt:i4>1324527813</vt:i4>
  </property>
</Properties>
</file>