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610E7E" w:rsidP="00610E7E">
      <w:pPr>
        <w:pStyle w:val="Druhrove"/>
        <w:numPr>
          <w:ilvl w:val="0"/>
          <w:numId w:val="0"/>
        </w:numPr>
        <w:jc w:val="left"/>
      </w:pPr>
      <w:bookmarkStart w:id="0" w:name="_Toc393283518"/>
      <w:r>
        <w:rPr>
          <w:lang w:val="cs-CZ"/>
        </w:rPr>
        <w:t>Formulář pro odpovědi na konzultační otázky</w:t>
      </w:r>
      <w:bookmarkEnd w:id="0"/>
      <w:r w:rsidR="005D68E7">
        <w:rPr>
          <w:lang w:val="cs-CZ"/>
        </w:rPr>
        <w:t xml:space="preserve"> Ministerstva financí </w:t>
      </w:r>
      <w:r w:rsidRPr="005D68E7" w:rsidR="005D68E7">
        <w:rPr>
          <w:b w:val="0"/>
          <w:lang w:val="cs-CZ"/>
        </w:rPr>
        <w:t>(transpozice směrnice MCD)</w:t>
      </w:r>
    </w:p>
    <w:tbl>
      <w:tblPr>
        <w:tblStyle w:val="TableGrid"/>
        <w:tblW w:w="14175" w:type="dxa"/>
        <w:tblLayout w:type="fixed"/>
        <w:tblCellMar>
          <w:top w:w="57" w:type="dxa"/>
          <w:bottom w:w="57" w:type="dxa"/>
        </w:tblCellMar>
        <w:tblLook w:val="04A0"/>
      </w:tblPr>
      <w:tblGrid>
        <w:gridCol w:w="6553"/>
        <w:gridCol w:w="7622"/>
      </w:tblGrid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rPr>
          <w:trHeight w:val="113"/>
        </w:trPr>
        <w:tc>
          <w:tcPr>
            <w:tcW w:w="13420" w:type="dxa"/>
            <w:gridSpan w:val="2"/>
            <w:shd w:val="clear" w:color="auto" w:fill="D9D9D9" w:themeFill="background1" w:themeFillShade="D9"/>
          </w:tcPr>
          <w:p w:rsidR="00610E7E" w:rsidRPr="005D68E7" w:rsidP="005434A4">
            <w:pPr>
              <w:spacing w:before="60" w:after="60"/>
              <w:rPr>
                <w:lang w:val="en-US"/>
              </w:rPr>
            </w:pPr>
            <w:r w:rsidRPr="006E5290">
              <w:rPr>
                <w:b/>
              </w:rPr>
              <w:t xml:space="preserve">Na otázky </w:t>
            </w:r>
            <w:r w:rsidRPr="006E5290">
              <w:rPr>
                <w:b/>
              </w:rPr>
              <w:t>odpověděl:</w:t>
            </w:r>
            <w:r>
              <w:t xml:space="preserve"> </w:t>
            </w:r>
            <w:bookmarkStart w:id="1" w:name="jmeno2"/>
            <w:r>
              <w:t xml:space="preserve"> </w:t>
            </w:r>
            <w:bookmarkEnd w:id="1"/>
            <w:r w:rsidR="005D68E7">
              <w:rPr>
                <w:lang w:val="en-US"/>
              </w:rPr>
              <w:t>[...]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 w:rsidRPr="00C0183D">
              <w:t xml:space="preserve">Považujete za vhodné, aby byly informační povinnosti věřitele vůči dlužníkovi a povinnost posuzování úvěruschopnosti vztaženy – především s ohledem na riziko regulatorní arbitráže – rovněž na tzv. drobné podnikatele? </w:t>
            </w:r>
          </w:p>
        </w:tc>
        <w:tc>
          <w:tcPr>
            <w:tcW w:w="7216" w:type="dxa"/>
          </w:tcPr>
          <w:p w:rsidR="006E6C42" w:rsidRPr="000E2502" w:rsidP="006E6C42">
            <w:pPr>
              <w:rPr>
                <w:b/>
              </w:rPr>
            </w:pPr>
            <w:r w:rsidRPr="000E250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 w:rsidRPr="006E5290">
              <w:t>Pokud ano, jak by hranice mezi drobnými a ostatními podnikateli měla být vymezena?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>
              <w:t>Jste-li poskytovatelem úvěrů:</w:t>
            </w:r>
          </w:p>
          <w:p w:rsidR="00610E7E" w:rsidP="005434A4">
            <w:r>
              <w:t xml:space="preserve">a) </w:t>
            </w:r>
            <w:r w:rsidRPr="006E5290">
              <w:t>rozlišujete z hlediska rozsahu či formy předsmluvních informací poskytovaných klientům, zdali se jedná o spotřebitele či podnikatele?,</w:t>
            </w:r>
          </w:p>
          <w:p w:rsidR="00610E7E" w:rsidRPr="006E5290" w:rsidP="005434A4">
            <w:r>
              <w:t xml:space="preserve">b) </w:t>
            </w:r>
            <w:r w:rsidRPr="006E5290">
              <w:t>jak velký podíl živnostníků a osob vykonávajících svobodná povolání (OSVČ) evidujete na poskytnutých hypotečních úvěrech?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 w:rsidRPr="006E5290">
              <w:t>Jak byste navrhovali vymezit pojem "nemovitost určená k bydlení" (jaké kritérium bude vhodné použít - kolaudační rozhodnutí, úmysl majitele, jiné)?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6E5290" w:rsidP="00610E7E">
            <w:pPr>
              <w:numPr>
                <w:ilvl w:val="0"/>
                <w:numId w:val="3"/>
              </w:numPr>
              <w:ind w:left="0" w:firstLine="0"/>
            </w:pPr>
            <w:r>
              <w:t xml:space="preserve">P </w:t>
            </w:r>
            <w:r w:rsidRPr="006E5290">
              <w:t xml:space="preserve">ovažujete za vhodné rozšířit působnost právní úpravy Směrnice rovněž na jiné nemovitosti, než na ty, které jsou určené na bydlení? 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>
              <w:t>O</w:t>
            </w:r>
            <w:r w:rsidRPr="006E5290">
              <w:t xml:space="preserve"> jaké „jiné nemovitosti“ (např. dům, zahrada, rybník, les, garáž, stodola) by se mělo jednat (a o jaké již nikoli) a proč?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Považujete za vhodné využít možnost vynětí nemovitostí určených k pronájmu z působnosti budoucí právní úpravy?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 xml:space="preserve">Jakým způsobem by v takovém případě bylo zajištěno plnění deklarovaného účelu? 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Jste-li poskytovatelem úvěrů, evidujete u žadatelů o úvěr účel, ke kterému si nemovitost pořizují (bydlení, rekreace, investice apod.)?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 xml:space="preserve">Pokud ano, jak velký je podíl smluv uzavřených na koupi nemovitostí určených výhradně k pronájmu? 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Považujete za vhodné využít možnost úplného vynětí tzv. překlenovacích úvěrů (které nespadají pod působnost zákona o spotřebitelském úvěru) z působnosti budoucí právní úpravy?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 xml:space="preserve">Považujete za vhodné využít možnost částečného vynětí tzv. překlenovacích úvěrů (které nespadají pod působnost zákona o spotřebitelském úvěru) z působnosti budoucí právní úpravy? Která ustanovení Směrnice by se podle Vašeho názoru neměla na překlenovací úvěry, které nespadají pod působnost zákona o spotřebitelském úvěru, vztahovat? 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>
              <w:t xml:space="preserve">Jste-li poskytovatelem úvěrů: </w:t>
            </w:r>
          </w:p>
          <w:p w:rsidR="00610E7E" w:rsidP="005434A4">
            <w:r>
              <w:t xml:space="preserve">a) rozlišujete z hlediska rozsahu či formy předsmluvních informací poskytovaných klientům, zdali se jedná o úvěr (na nemovitost) standardní či překlenovací?, </w:t>
            </w:r>
          </w:p>
          <w:p w:rsidR="00610E7E" w:rsidRPr="003444FC" w:rsidP="005434A4">
            <w:r>
              <w:t>b) jak velký je podíl Vámi poskytnutých překlenovacích úvěrů na všech úvěrech na nemovitosti?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Měly by se využít diskrece</w:t>
            </w:r>
            <w:r>
              <w:t xml:space="preserve"> k platbám předem</w:t>
            </w:r>
            <w:r w:rsidRPr="003444FC">
              <w:t>, v jakém rozsahu a proč?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Jsou po spotřebiteli poskytovatelem nebo zprostředkovatelem úvěrů požadovány poplatky, které jsou splatné před uzavřením smlouvy o úvěru, resp. před čerpáním?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Jste-li poskytovatel nebo zprostředkovatel, z jakého důvodu je placení těchto poplatků požadováno před uzavřením smlouvy o úvěru? Jaké z těchto poplatků jsou vratné?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 xml:space="preserve">Má být dle Vašeho názoru povolen vázaný prodej v souvislosti s hypotečním úvěrem? S jakou doplňkovou finanční </w:t>
            </w:r>
            <w:r w:rsidRPr="003444FC">
              <w:t xml:space="preserve">službou může být hypoteční úvěr svázán a proč? 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Je v současnosti na spotřebiteli v souvislosti s poskytnutím hypotečního úvěru vyžadováno nebo doporučováno sjednání doplňkových finančních služeb (např. platební účet, pojištění, spořicí produkty) jako podmínka poskytnutí úvěru? S jakými doplňkovými finančními službami bývá hypoteční úvěr svázán a proč? Má v těchto případech spotřebitel právo svobodného výběru poskytovatele těchto služeb, nebo je v tomto výběru omezen (např. na finanční instituci ze skupiny)?</w:t>
            </w:r>
          </w:p>
        </w:tc>
        <w:tc>
          <w:tcPr>
            <w:tcW w:w="7216" w:type="dxa"/>
          </w:tcPr>
          <w:p w:rsidR="00610E7E" w:rsidP="005434A4">
            <w:r w:rsidRPr="003C1CDC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Jakou formu tzv. lhůty na rozmyšlenou upřednostňujete? Možnost odstoupení od smlouvy po jejím podpisu v určité lhůtě (jak dlouhé?), nebo stanovení minimální lhůty (jak dlouhé?) na rozmyšlenou po předložení závazné nabídky?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Jaké lhůty na rozmyšlenou se v současnosti u úvěrů na bydlení uplatňují a s jakými zkušenostmi?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3444FC">
              <w:t>Považujete za vhodné, aby v rámci lhůty na rozmyšlenou nesměli spotřebitelé po určitý počet dní běhu lhůty nabídku přijmout? Jak dlouhá by podle Vašeho názoru měla být tato doba?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912A46">
              <w:t>Jaké možnosti omezení kurzového rizika považujete za vhodné u úvěrů v cizí měně úvěrů uplatňovat?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>
              <w:t>Jste-li poskytovatelem nebo zprostředkovatelem:</w:t>
            </w:r>
          </w:p>
          <w:p w:rsidR="00610E7E" w:rsidP="005434A4">
            <w:r>
              <w:t xml:space="preserve">a) nabízíte spotřebitelům také úvěry v cizí měně? Pokud ano, v jaké měně? </w:t>
            </w:r>
          </w:p>
          <w:p w:rsidR="00610E7E" w:rsidRPr="003444FC" w:rsidP="005434A4">
            <w:r>
              <w:t xml:space="preserve">b) jaký podíl mají tyto úvěry na Vaší celkové produkci úvěrů na bydlení? 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>
              <w:t>Jste-li poskytovatelem nebo zprostředkovatelem:</w:t>
            </w:r>
          </w:p>
          <w:p w:rsidR="00610E7E" w:rsidP="005434A4">
            <w:r>
              <w:t xml:space="preserve">a) jaká opatření činíte k omezení kurzového rizika a následnému riziku platební neschopnosti spotřebitele? </w:t>
            </w:r>
          </w:p>
          <w:p w:rsidR="00610E7E" w:rsidRPr="003444FC" w:rsidP="005434A4">
            <w:r>
              <w:t xml:space="preserve">b) jaké jiné mechanismy k omezení kurzového rizika spotřebitele </w:t>
            </w:r>
            <w:r>
              <w:t>lze využít?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Považujete za vhodné zavést prahovou hodnotu míry fluktuace směnného kurzu pro uplatnění práva spotřebitele na konverzi měny, v níž je vyjádřen úvěr? Pokud ano, jakou?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3444FC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Jaká rizika a jaké výhody vidíte u jednotlivých možností definice tzv. „jiné měny“ daných směrnicí? Kterou možnost byste preferovali?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Jaké výhody a jaká rizika spatřujete v pevném stanovení definice jiné měny státem a v delegaci výběru na věřitele? Kterou možnost byste preferovali?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Pro poskytovatele nebo zprostředkovatele: Umožňujete spotřebitelům konverzi cizoměnového úvěru do jiné měny? Pokud ano, do jaké měny?</w:t>
            </w:r>
          </w:p>
        </w:tc>
        <w:tc>
          <w:tcPr>
            <w:tcW w:w="7216" w:type="dxa"/>
          </w:tcPr>
          <w:p w:rsidR="00610E7E" w:rsidP="005434A4">
            <w:r w:rsidRPr="000E5DC2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Jaké další podmínky by dle Vašeho názoru měly být stanoveny pro poskytování úvěrů v cizí měně?</w:t>
            </w:r>
          </w:p>
        </w:tc>
        <w:tc>
          <w:tcPr>
            <w:tcW w:w="7216" w:type="dxa"/>
          </w:tcPr>
          <w:p w:rsidR="00610E7E" w:rsidP="005434A4">
            <w:r w:rsidRPr="00C43E1D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Jak by měl být nastaven institut předčasného splacení u hypotečních úvěrů?</w:t>
            </w:r>
          </w:p>
        </w:tc>
        <w:tc>
          <w:tcPr>
            <w:tcW w:w="7216" w:type="dxa"/>
          </w:tcPr>
          <w:p w:rsidR="00610E7E" w:rsidP="005434A4">
            <w:r w:rsidRPr="00C43E1D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 xml:space="preserve">Jste-li poskytovatelem nebo zprostředkovatelem, za jakých podmínek (s jakým poplatkem/nákladem spotřebitele) v současnosti umožňujete předčasné splacení hypotečního úvěru mimo termín fixace? </w:t>
            </w:r>
          </w:p>
        </w:tc>
        <w:tc>
          <w:tcPr>
            <w:tcW w:w="7216" w:type="dxa"/>
          </w:tcPr>
          <w:p w:rsidR="00610E7E" w:rsidP="005434A4">
            <w:r w:rsidRPr="00C43E1D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Jak by měla být chápána „přiměřená shovívavost“, se kterou dle směrnice má věřitel postupovat, než zahájí řízení za účelem realizace zástavy?</w:t>
            </w:r>
          </w:p>
        </w:tc>
        <w:tc>
          <w:tcPr>
            <w:tcW w:w="7216" w:type="dxa"/>
          </w:tcPr>
          <w:p w:rsidR="00610E7E" w:rsidP="005434A4">
            <w:r w:rsidRPr="00C43E1D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>
              <w:t xml:space="preserve">Jste-li poskytovatelem úvěrů: </w:t>
            </w:r>
          </w:p>
          <w:p w:rsidR="00610E7E" w:rsidP="005434A4">
            <w:r>
              <w:t xml:space="preserve">a) jak postupujete v případě prodlení dlužníka se splátkou? </w:t>
            </w:r>
          </w:p>
          <w:p w:rsidR="00610E7E" w:rsidP="005434A4">
            <w:r>
              <w:t xml:space="preserve">b) jaké v současnosti uplatňujete na klientech peněžní sankce? </w:t>
            </w:r>
          </w:p>
          <w:p w:rsidR="00610E7E" w:rsidP="005434A4">
            <w:r>
              <w:t>c) jaké mechanismy klientovi nabízíte, aby nedošlo k případné realizaci zástavy?</w:t>
            </w:r>
          </w:p>
          <w:p w:rsidR="00610E7E" w:rsidP="005434A4">
            <w:r>
              <w:t xml:space="preserve">d) co zahrnují a jak se vypočítávají náklady věřitele v důsledku </w:t>
            </w:r>
            <w:r>
              <w:t xml:space="preserve">prodlení spotřebitele? </w:t>
            </w:r>
          </w:p>
          <w:p w:rsidR="00610E7E" w:rsidP="005434A4">
            <w:r>
              <w:t xml:space="preserve">e) realizujete zástavu nebo pohledávku za dlužníkem prodáváte třetí osobě? </w:t>
            </w:r>
          </w:p>
          <w:p w:rsidR="00610E7E" w:rsidP="005434A4">
            <w:r>
              <w:t>f) jak dlouhé musí být prodlení spotřebitele, abyste přistoupili k realizaci zástavy?</w:t>
            </w:r>
          </w:p>
          <w:p w:rsidR="00610E7E" w:rsidP="005434A4">
            <w:r>
              <w:t xml:space="preserve">g) jaké poplatky požadujete za odložení/pozastavení splácení úvěru/za změnu splátkového kalendáře? </w:t>
            </w:r>
          </w:p>
          <w:p w:rsidR="00610E7E" w:rsidRPr="00B01F16" w:rsidP="005434A4">
            <w:r>
              <w:t xml:space="preserve">h) v jakém přibližném procentu případů přechází jednání s klientem, který je v prodlení, k realizaci zástavy? </w:t>
            </w:r>
          </w:p>
        </w:tc>
        <w:tc>
          <w:tcPr>
            <w:tcW w:w="7216" w:type="dxa"/>
          </w:tcPr>
          <w:p w:rsidR="00610E7E" w:rsidP="005434A4">
            <w:r w:rsidRPr="00C43E1D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Existují na úrovni samoregulace v bankovním sektoru určitá sdílená pravidla postupu při realizaci zástavy?</w:t>
            </w:r>
          </w:p>
        </w:tc>
        <w:tc>
          <w:tcPr>
            <w:tcW w:w="7216" w:type="dxa"/>
          </w:tcPr>
          <w:p w:rsidR="00610E7E" w:rsidP="005434A4">
            <w:r w:rsidRPr="00C43E1D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Jaké postupy považujete za vhodné uplatňovat pro snazší splácení zbylého dluhu poté, co je prodána nemovitost sloužící jako zajištění prodeje předmětu zástavního práva?</w:t>
            </w:r>
          </w:p>
        </w:tc>
        <w:tc>
          <w:tcPr>
            <w:tcW w:w="7216" w:type="dxa"/>
          </w:tcPr>
          <w:p w:rsidR="00610E7E" w:rsidP="005434A4">
            <w:r w:rsidRPr="00C43E1D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Pro věřitele: Jakým způsobem zajišťujete dosažení co nejvyšší ceny v případě realizace zajištění? Přistupujete vždy k veřejné dražbě nebo spolupracujete s dlužníkem za účelem prodeje předmětu zástavního práva za co nejvyšší cenu na realitním trhu?</w:t>
            </w:r>
          </w:p>
        </w:tc>
        <w:tc>
          <w:tcPr>
            <w:tcW w:w="7216" w:type="dxa"/>
          </w:tcPr>
          <w:p w:rsidR="00610E7E" w:rsidP="005434A4">
            <w:r w:rsidRPr="00C43E1D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Pro věřitele: Jakým způsobem postupujete v případě, kdy realizace zajištění úvěru nestačí k jeho splacení?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 xml:space="preserve">Jaké řešení navrhujete pro usnadnění splácení úvěru, zbývá-li po realizaci zástavy nesplacený dluh? 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 xml:space="preserve">Jaké nástroje regulace vstupu do odvětví považujete za vhodné zavést u poskytovatelů a zprostředkovatelů? 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Domníváte se, že by režim poskytovatelů úvěrů měl být přísnější oproti standardu pro zprostředkovatele a v čem?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 xml:space="preserve">Jakou systematiku zprostředkovatelů úvěrů doporučujete v ČR do budoucna zavést s ohledem na možnosti, které dává Směrnice a při respektování základních koncepčních </w:t>
            </w:r>
            <w:r w:rsidRPr="00B01F16">
              <w:t>východisek Ministerstva financí (princip jediného zastoupeného a jeho odpovědnost za činnost vázaného zástupce a škody jím způsobené)?   Jaké výhody ve Vámi doporučované regulatorní struktuře spatřujete vzhledem k ochraně spotřebitele a ke stávajícím modelům distribuce na trhu?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 xml:space="preserve">Jste-li poskytovatelem úvěrů, jaké evidujete procento zprostředkované produkce, kterou pro vás sjednávají výhradní zprostředkovatele? </w:t>
            </w:r>
          </w:p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B01F16">
              <w:t>Jaký trend v distribuci (a jejím rozložení mezi interní a externí sítě) do budoucna očekáváte?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B01F16" w:rsidP="00610E7E">
            <w:pPr>
              <w:numPr>
                <w:ilvl w:val="0"/>
                <w:numId w:val="3"/>
              </w:numPr>
              <w:ind w:left="0" w:firstLine="0"/>
            </w:pPr>
            <w:r w:rsidRPr="005B3C33">
              <w:t xml:space="preserve">Jak byste upravili užívání pojmu (nezávislý) poradce, (nezávislé) poradenství nebo obdobných výrazů (např. hypoteční makléř)v intencích Směrnice, v kontextu užívání těchto termínů v jiných sektorech finančního trhu a s přihlédnutím </w:t>
            </w:r>
            <w:r w:rsidRPr="005B3C33">
              <w:t>ke</w:t>
            </w:r>
            <w:r w:rsidRPr="005B3C33">
              <w:t xml:space="preserve"> potřebě vytvořit univerzální úpravu labelingu pro celý finanční trh?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2B5DA3" w:rsidRPr="005B3C33" w:rsidP="002B5DA3">
            <w:pPr>
              <w:numPr>
                <w:ilvl w:val="0"/>
                <w:numId w:val="3"/>
              </w:numPr>
              <w:ind w:left="0" w:firstLine="0"/>
            </w:pPr>
            <w:r w:rsidRPr="002B5DA3">
              <w:t>Jakým způsobem považujete za vhodné zajistit, aby struktura odměňování osob vykonávajících distribuci nebyla závislá na prodejních cílech?</w:t>
            </w:r>
          </w:p>
        </w:tc>
        <w:tc>
          <w:tcPr>
            <w:tcW w:w="7216" w:type="dxa"/>
          </w:tcPr>
          <w:p w:rsidR="002B5DA3" w:rsidRPr="00791520" w:rsidP="005434A4">
            <w:pPr>
              <w:rPr>
                <w:b/>
              </w:rPr>
            </w:pPr>
            <w:r w:rsidRPr="00791520">
              <w:rPr>
                <w:b/>
              </w:rPr>
              <w:t>Odpověď:</w:t>
            </w:r>
            <w:bookmarkStart w:id="2" w:name="_GoBack"/>
            <w:bookmarkEnd w:id="2"/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  <w:ind w:left="0" w:firstLine="0"/>
            </w:pPr>
            <w:r w:rsidRPr="005B3C33">
              <w:t>Domníváte se, že by diskrece k zákazu provizního odměňování měla být využita?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  <w:ind w:left="0" w:firstLine="0"/>
            </w:pPr>
            <w:r w:rsidRPr="005B3C33">
              <w:t xml:space="preserve">Jak hodnotíte současné fungování provizního systému v sektoru hypotečních úvěrů? </w:t>
            </w:r>
          </w:p>
        </w:tc>
        <w:tc>
          <w:tcPr>
            <w:tcW w:w="7216" w:type="dxa"/>
          </w:tcPr>
          <w:p w:rsidR="00610E7E" w:rsidP="005434A4">
            <w:r w:rsidRPr="00791520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P="002B5DA3">
            <w:pPr>
              <w:numPr>
                <w:ilvl w:val="0"/>
                <w:numId w:val="3"/>
              </w:numPr>
              <w:ind w:left="0" w:firstLine="0"/>
            </w:pPr>
            <w:r>
              <w:t>Jste-li poskytovatelem nebo zprostředkovatelem popište, jaký provizní systém používáte a zda:</w:t>
            </w:r>
          </w:p>
          <w:p w:rsidR="00610E7E" w:rsidP="005434A4">
            <w:r>
              <w:t>a) uplatňujete postupy řízení střetu zájmů v distribuci úvěrů na bydlení;</w:t>
            </w:r>
          </w:p>
          <w:p w:rsidR="00610E7E" w:rsidP="005434A4">
            <w:r>
              <w:t>b) jak se tyto postupy odrážejí v systému odměňování?</w:t>
            </w:r>
          </w:p>
          <w:p w:rsidR="00610E7E" w:rsidRPr="005B3C33" w:rsidP="005434A4">
            <w:r>
              <w:t>c) požadujete v případě vašich zprostředkovatelů jako podmínku výplaty provize určitou minimální dobu ručení za trvání smlouvy?</w:t>
            </w:r>
          </w:p>
        </w:tc>
        <w:tc>
          <w:tcPr>
            <w:tcW w:w="7216" w:type="dxa"/>
          </w:tcPr>
          <w:p w:rsidR="00610E7E" w:rsidP="005434A4">
            <w:r w:rsidRPr="00E364D3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</w:pPr>
            <w:r w:rsidRPr="005B3C33">
              <w:t>Měla by ČR využít příslušnou diskreci? Pokud ano, jak „varování před riziky “ mělo vypadat?</w:t>
            </w:r>
          </w:p>
        </w:tc>
        <w:tc>
          <w:tcPr>
            <w:tcW w:w="7216" w:type="dxa"/>
          </w:tcPr>
          <w:p w:rsidR="00610E7E" w:rsidP="005434A4">
            <w:r w:rsidRPr="00E364D3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</w:pPr>
            <w:r w:rsidRPr="005B3C33">
              <w:t>Považujete za vhodné zavést povinnost uvádět náklady úvěru i v případech, kdy nejsou poskytovatelem prezentovány žádné číselné údaje?</w:t>
            </w:r>
          </w:p>
        </w:tc>
        <w:tc>
          <w:tcPr>
            <w:tcW w:w="7216" w:type="dxa"/>
          </w:tcPr>
          <w:p w:rsidR="00610E7E" w:rsidP="005434A4">
            <w:r w:rsidRPr="00E364D3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</w:pPr>
            <w:r w:rsidRPr="005B3C33">
              <w:t xml:space="preserve">Považujete za vhodné zavést povinnost uvádět nejvyšší RPSN, za kterou lze úvěrový produkt získat? </w:t>
            </w:r>
          </w:p>
        </w:tc>
        <w:tc>
          <w:tcPr>
            <w:tcW w:w="7216" w:type="dxa"/>
          </w:tcPr>
          <w:p w:rsidR="00610E7E" w:rsidP="005434A4">
            <w:r w:rsidRPr="00E364D3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</w:pPr>
            <w:r w:rsidRPr="005B3C33">
              <w:t>Jaké uspořádání výkonu dohledu nad trhem úvěrů pro spotřebitele považujete za vhodné?</w:t>
            </w:r>
          </w:p>
        </w:tc>
        <w:tc>
          <w:tcPr>
            <w:tcW w:w="7216" w:type="dxa"/>
          </w:tcPr>
          <w:p w:rsidR="00610E7E" w:rsidP="005434A4">
            <w:r w:rsidRPr="00E364D3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</w:pPr>
            <w:r w:rsidRPr="005B3C33">
              <w:t>Jaký je Váš názor na případné sjednocení dohledu nad činností poskytovatelů a zprostředkovatelů úvěrů? Kdo by měl vykonávat činnost jednotného orgánu dohledu?</w:t>
            </w:r>
          </w:p>
        </w:tc>
        <w:tc>
          <w:tcPr>
            <w:tcW w:w="7216" w:type="dxa"/>
          </w:tcPr>
          <w:p w:rsidR="00610E7E" w:rsidP="005434A4">
            <w:r w:rsidRPr="00E364D3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</w:pPr>
            <w:r w:rsidRPr="005B3C33">
              <w:t xml:space="preserve">Jste-li poskytovatelem nebo zprostředkovatelem úvěru, jaké máte zkušenosti s výkonem dohledu nad vaší podnikatelskou činností? </w:t>
            </w:r>
          </w:p>
        </w:tc>
        <w:tc>
          <w:tcPr>
            <w:tcW w:w="7216" w:type="dxa"/>
          </w:tcPr>
          <w:p w:rsidR="00610E7E" w:rsidP="005434A4">
            <w:r w:rsidRPr="00E364D3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6204" w:type="dxa"/>
          </w:tcPr>
          <w:p w:rsidR="00610E7E" w:rsidRPr="005B3C33" w:rsidP="002B5DA3">
            <w:pPr>
              <w:numPr>
                <w:ilvl w:val="0"/>
                <w:numId w:val="3"/>
              </w:numPr>
            </w:pPr>
            <w:r w:rsidRPr="005B3C33">
              <w:t xml:space="preserve">Jaký institucionální model (tj. metodika oceňování nemovitostí, standardy, interní vs. externí odhadce, zajištění nestrannosti a objektivity ocenění atd.) provedení požadavků směrnice, týkajících se zavedení a užívání standardů oceňování nemovitostí, považujete v podmínkách ČR za efektivní a účelný? Jakou roli zde má, resp. může plnit samoregulace?  </w:t>
            </w:r>
          </w:p>
        </w:tc>
        <w:tc>
          <w:tcPr>
            <w:tcW w:w="7216" w:type="dxa"/>
          </w:tcPr>
          <w:p w:rsidR="00610E7E" w:rsidP="005434A4">
            <w:r w:rsidRPr="00E364D3">
              <w:rPr>
                <w:b/>
              </w:rPr>
              <w:t>Odpověď:</w:t>
            </w:r>
          </w:p>
        </w:tc>
      </w:tr>
      <w:tr w:rsidTr="006E6C42">
        <w:tblPrEx>
          <w:tblW w:w="14175" w:type="dxa"/>
          <w:tblLayout w:type="fixed"/>
          <w:tblCellMar>
            <w:top w:w="57" w:type="dxa"/>
            <w:bottom w:w="57" w:type="dxa"/>
          </w:tblCellMar>
          <w:tblLook w:val="04A0"/>
        </w:tblPrEx>
        <w:tc>
          <w:tcPr>
            <w:tcW w:w="13420" w:type="dxa"/>
            <w:gridSpan w:val="2"/>
          </w:tcPr>
          <w:p w:rsidR="00FC5FF6" w:rsidP="002B5DA3">
            <w:pPr>
              <w:pStyle w:val="Htextodstavce"/>
            </w:pPr>
            <w:r w:rsidRPr="00FC5FF6">
              <w:rPr>
                <w:b/>
              </w:rPr>
              <w:t>Další podněty, připomínky či návrhy:</w:t>
            </w:r>
          </w:p>
          <w:p w:rsidR="00FC5FF6" w:rsidP="000C5CD7">
            <w:pPr>
              <w:ind w:left="113"/>
            </w:pPr>
          </w:p>
          <w:p w:rsidR="00FC5FF6" w:rsidP="000C5CD7">
            <w:pPr>
              <w:ind w:left="113"/>
            </w:pPr>
          </w:p>
          <w:p w:rsidR="00FC5FF6" w:rsidP="000C5CD7">
            <w:pPr>
              <w:ind w:left="113"/>
            </w:pPr>
          </w:p>
          <w:p w:rsidR="00FC5FF6" w:rsidP="000C5CD7">
            <w:pPr>
              <w:ind w:left="113"/>
            </w:pPr>
          </w:p>
          <w:p w:rsidR="00FC5FF6" w:rsidRPr="00E364D3" w:rsidP="005434A4">
            <w:pPr>
              <w:rPr>
                <w:b/>
              </w:rPr>
            </w:pPr>
          </w:p>
        </w:tc>
      </w:tr>
    </w:tbl>
    <w:p w:rsidR="009A12E3"/>
    <w:sectPr w:rsidSect="003444FC">
      <w:footerReference w:type="default" r:id="rId5"/>
      <w:pgSz w:w="16838" w:h="11906" w:orient="landscape"/>
      <w:pgMar w:top="709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0969787"/>
      <w:docPartObj>
        <w:docPartGallery w:val="Page Numbers (Bottom of Page)"/>
        <w:docPartUnique/>
      </w:docPartObj>
    </w:sdtPr>
    <w:sdtContent>
      <w:p w:rsidR="006E6C4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DA3">
          <w:rPr>
            <w:noProof/>
          </w:rPr>
          <w:t>6</w:t>
        </w:r>
        <w:r>
          <w:fldChar w:fldCharType="end"/>
        </w:r>
      </w:p>
    </w:sdtContent>
  </w:sdt>
  <w:p w:rsidR="006E6C42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B305D"/>
    <w:multiLevelType w:val="hybridMultilevel"/>
    <w:tmpl w:val="6456CC56"/>
    <w:lvl w:ilvl="0">
      <w:start w:val="1"/>
      <w:numFmt w:val="decimal"/>
      <w:suff w:val="space"/>
      <w:lvlText w:val="Otázka č. %1):"/>
      <w:lvlJc w:val="left"/>
      <w:pPr>
        <w:ind w:left="284" w:hanging="171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073F4"/>
    <w:multiLevelType w:val="hybridMultilevel"/>
    <w:tmpl w:val="5C2CA254"/>
    <w:lvl w:ilvl="0">
      <w:start w:val="1"/>
      <w:numFmt w:val="decimal"/>
      <w:suff w:val="space"/>
      <w:lvlText w:val="Otázka č. %1):"/>
      <w:lvlJc w:val="left"/>
      <w:pPr>
        <w:ind w:left="284" w:hanging="171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E53217"/>
    <w:multiLevelType w:val="multilevel"/>
    <w:tmpl w:val="406012D4"/>
    <w:numStyleLink w:val="Styl1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79477CF7"/>
    <w:multiLevelType w:val="multilevel"/>
    <w:tmpl w:val="406012D4"/>
    <w:styleLink w:val="Styl1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upperRoman"/>
      <w:pStyle w:val="Druhrove"/>
      <w:lvlText w:val="%1.%2."/>
      <w:lvlJc w:val="left"/>
      <w:pPr>
        <w:ind w:left="792" w:hanging="432"/>
      </w:pPr>
      <w:rPr>
        <w:color w:val="4F81BD"/>
      </w:rPr>
    </w:lvl>
    <w:lvl w:ilvl="2">
      <w:start w:val="1"/>
      <w:numFmt w:val="decimal"/>
      <w:pStyle w:val="Styl2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  <w:lvlOverride w:ilvl="1">
      <w:lvl w:ilvl="1">
        <w:start w:val="1"/>
        <w:numFmt w:val="upperRoman"/>
        <w:pStyle w:val="Druhrove"/>
        <w:lvlText w:val="%1.%2."/>
        <w:lvlJc w:val="left"/>
        <w:pPr>
          <w:ind w:left="792" w:hanging="432"/>
        </w:pPr>
        <w:rPr>
          <w:color w:val="4F81BD" w:themeColor="accent1"/>
        </w:rPr>
      </w:lvl>
    </w:lvlOverride>
    <w:lvlOverride w:ilvl="2">
      <w:lvl w:ilvl="2">
        <w:start w:val="1"/>
        <w:numFmt w:val="decimal"/>
        <w:pStyle w:val="Styl2"/>
        <w:lvlText w:val="%1.%2.%3."/>
        <w:lvlJc w:val="left"/>
        <w:pPr>
          <w:ind w:left="1214" w:hanging="504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cap="rnd">
            <w14:noFill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/>
          <w14:ligatures w14:val="none"/>
          <w14:numForm w14:val="default"/>
          <w14:numSpacing w14:val="default"/>
          <w14:stylisticSets xmlns:w14="http://schemas.microsoft.com/office/word/2010/wordml"/>
          <w14:cntxtAlts w14:val="0"/>
        </w:rPr>
      </w:lvl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610E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1">
    <w:name w:val="Styl1"/>
    <w:rsid w:val="00610E7E"/>
    <w:pPr>
      <w:numPr>
        <w:numId w:val="1"/>
      </w:numPr>
    </w:pPr>
  </w:style>
  <w:style w:type="paragraph" w:customStyle="1" w:styleId="Styl2">
    <w:name w:val="Styl2"/>
    <w:basedOn w:val="Heading2"/>
    <w:qFormat/>
    <w:rsid w:val="00610E7E"/>
    <w:pPr>
      <w:numPr>
        <w:ilvl w:val="2"/>
        <w:numId w:val="2"/>
      </w:numPr>
      <w:tabs>
        <w:tab w:val="num" w:pos="360"/>
      </w:tabs>
      <w:spacing w:before="240" w:after="240" w:line="276" w:lineRule="auto"/>
      <w:ind w:left="0" w:firstLine="0"/>
    </w:pPr>
    <w:rPr>
      <w:rFonts w:ascii="Cambria" w:eastAsia="Times New Roman" w:hAnsi="Cambria" w:cs="Times New Roman"/>
      <w:b w:val="0"/>
      <w:bCs w:val="0"/>
      <w:color w:val="4F81BD"/>
      <w:szCs w:val="20"/>
    </w:rPr>
  </w:style>
  <w:style w:type="paragraph" w:customStyle="1" w:styleId="Druhrove">
    <w:name w:val="Druhá úroveň"/>
    <w:basedOn w:val="Heading2"/>
    <w:link w:val="DruhroveChar"/>
    <w:qFormat/>
    <w:rsid w:val="00610E7E"/>
    <w:pPr>
      <w:numPr>
        <w:ilvl w:val="1"/>
        <w:numId w:val="2"/>
      </w:numPr>
      <w:spacing w:after="120" w:line="276" w:lineRule="auto"/>
      <w:jc w:val="center"/>
    </w:pPr>
    <w:rPr>
      <w:rFonts w:ascii="Cambria" w:eastAsia="Times New Roman" w:hAnsi="Cambria" w:cs="Times New Roman"/>
      <w:bCs w:val="0"/>
      <w:sz w:val="32"/>
      <w:szCs w:val="32"/>
    </w:rPr>
  </w:style>
  <w:style w:type="character" w:customStyle="1" w:styleId="DruhroveChar">
    <w:name w:val="Druhá úroveň Char"/>
    <w:basedOn w:val="Nadpis2Char"/>
    <w:link w:val="Druhrove"/>
    <w:rsid w:val="00610E7E"/>
    <w:rPr>
      <w:rFonts w:ascii="Cambria" w:eastAsia="Times New Roman" w:hAnsi="Cambria" w:cs="Times New Roman"/>
      <w:b/>
      <w:bCs w:val="0"/>
      <w:color w:val="4F81BD" w:themeColor="accent1"/>
      <w:sz w:val="32"/>
      <w:szCs w:val="32"/>
    </w:rPr>
  </w:style>
  <w:style w:type="table" w:styleId="TableGrid">
    <w:name w:val="Table Grid"/>
    <w:basedOn w:val="TableNormal"/>
    <w:rsid w:val="0061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DefaultParagraphFont"/>
    <w:link w:val="Heading2"/>
    <w:uiPriority w:val="9"/>
    <w:semiHidden/>
    <w:rsid w:val="00610E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Htextodstavce">
    <w:name w:val="H_text_odstavce"/>
    <w:basedOn w:val="Normal"/>
    <w:qFormat/>
    <w:rsid w:val="00FC5FF6"/>
    <w:pPr>
      <w:spacing w:before="120" w:after="120" w:line="288" w:lineRule="auto"/>
      <w:jc w:val="both"/>
    </w:pPr>
    <w:rPr>
      <w:bCs/>
    </w:rPr>
  </w:style>
  <w:style w:type="paragraph" w:styleId="Header">
    <w:name w:val="header"/>
    <w:basedOn w:val="Normal"/>
    <w:link w:val="ZhlavChar"/>
    <w:uiPriority w:val="99"/>
    <w:unhideWhenUsed/>
    <w:rsid w:val="006E6C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6E6C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6E6C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6E6C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2B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5EB64-4BC7-4AA8-90A1-FAD8847F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7</Pages>
  <Words>1504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2014-07-17T13:18:00Z</dcterms:created>
</cp:coreProperties>
</file>