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60A42" w14:textId="77777777" w:rsidR="00FD138E" w:rsidRPr="00202509" w:rsidRDefault="00FD138E" w:rsidP="00FD138E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69745F10" w14:textId="77777777" w:rsidR="00FD138E" w:rsidRPr="00202509" w:rsidRDefault="00FD138E" w:rsidP="00FD138E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306FE7E4" w14:textId="77777777" w:rsidR="00FD138E" w:rsidRPr="00202509" w:rsidRDefault="00FD138E" w:rsidP="00FD138E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501FF210" w14:textId="77777777" w:rsidR="00FD138E" w:rsidRPr="00202509" w:rsidRDefault="00FD138E" w:rsidP="00FD138E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62BAE1D1" w14:textId="089E3CD9" w:rsidR="00FD138E" w:rsidRPr="001A4C0E" w:rsidRDefault="00FD138E" w:rsidP="001A4C0E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2E53775D" w14:textId="4641BB4A" w:rsidR="004D3EED" w:rsidRPr="00EC65AA" w:rsidRDefault="00334EF2" w:rsidP="00180F7B">
      <w:pPr>
        <w:jc w:val="center"/>
        <w:rPr>
          <w:rFonts w:ascii="Arial" w:hAnsi="Arial" w:cs="Arial"/>
          <w:b/>
          <w:sz w:val="24"/>
          <w:szCs w:val="24"/>
        </w:rPr>
      </w:pPr>
      <w:r w:rsidRPr="00EC65AA">
        <w:rPr>
          <w:rFonts w:ascii="Arial" w:hAnsi="Arial" w:cs="Arial"/>
          <w:b/>
          <w:sz w:val="24"/>
          <w:szCs w:val="24"/>
        </w:rPr>
        <w:t>HERNÍ PLÁN</w:t>
      </w:r>
    </w:p>
    <w:p w14:paraId="5316E4C7" w14:textId="77777777" w:rsidR="00334EF2" w:rsidRPr="00EC65AA" w:rsidRDefault="00334EF2" w:rsidP="00180F7B">
      <w:pPr>
        <w:jc w:val="center"/>
        <w:rPr>
          <w:rFonts w:ascii="Arial" w:hAnsi="Arial" w:cs="Arial"/>
          <w:b/>
          <w:sz w:val="24"/>
          <w:szCs w:val="24"/>
        </w:rPr>
      </w:pPr>
      <w:r w:rsidRPr="00EC65AA">
        <w:rPr>
          <w:rFonts w:ascii="Arial" w:hAnsi="Arial" w:cs="Arial"/>
          <w:b/>
          <w:sz w:val="24"/>
          <w:szCs w:val="24"/>
        </w:rPr>
        <w:t>OBECNÁ ČÁST</w:t>
      </w:r>
    </w:p>
    <w:p w14:paraId="3400DAF0" w14:textId="77777777" w:rsidR="00B743DB" w:rsidRPr="003103C7" w:rsidRDefault="00B743DB" w:rsidP="00B743DB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1FDC026E" w14:textId="2E6F2EEA" w:rsidR="00B743DB" w:rsidRPr="00937E8C" w:rsidRDefault="00B743DB" w:rsidP="00B743DB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71808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971808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971808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zahraničních provozovatelů, adresa sídla</w:t>
      </w:r>
    </w:p>
    <w:p w14:paraId="5655F640" w14:textId="77777777" w:rsidR="00B743DB" w:rsidRPr="003103C7" w:rsidRDefault="00B743DB" w:rsidP="00B743DB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3AD4C93F" w14:textId="77777777" w:rsidR="00B743DB" w:rsidRPr="00937E8C" w:rsidRDefault="00B743DB" w:rsidP="00A8625C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Živá hra</w:t>
      </w:r>
    </w:p>
    <w:p w14:paraId="55394CDA" w14:textId="4DA45DAB" w:rsidR="00937E8C" w:rsidRPr="00B743DB" w:rsidRDefault="00B743DB" w:rsidP="00A8625C">
      <w:pPr>
        <w:pStyle w:val="Odstavecseseznamem"/>
        <w:numPr>
          <w:ilvl w:val="0"/>
          <w:numId w:val="1"/>
        </w:numPr>
        <w:spacing w:after="120" w:line="240" w:lineRule="auto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27122C15" w14:textId="2DEBBB1A" w:rsidR="00937E8C" w:rsidRPr="00EC65AA" w:rsidRDefault="00543CE3" w:rsidP="00FD28AD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06B3B9D2" w14:textId="5B5664DC" w:rsidR="00B743DB" w:rsidRPr="00A8625C" w:rsidRDefault="00937E8C" w:rsidP="00FD28AD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EC65AA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0E10A671" w14:textId="7B4C6BE7" w:rsidR="00512E17" w:rsidRPr="00454D0A" w:rsidRDefault="00512E17" w:rsidP="002E7681">
      <w:pPr>
        <w:pStyle w:val="Odstavecseseznamem"/>
        <w:numPr>
          <w:ilvl w:val="0"/>
          <w:numId w:val="9"/>
        </w:numPr>
        <w:spacing w:before="120"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454D0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 w:rsidR="001B2A06">
        <w:rPr>
          <w:rFonts w:ascii="Arial" w:hAnsi="Arial" w:cs="Arial"/>
          <w:sz w:val="24"/>
          <w:szCs w:val="24"/>
        </w:rPr>
        <w:t>;</w:t>
      </w:r>
    </w:p>
    <w:p w14:paraId="2FCDE5AA" w14:textId="171E2A60" w:rsidR="00512E17" w:rsidRPr="00454D0A" w:rsidRDefault="00512E17" w:rsidP="002E7681">
      <w:pPr>
        <w:pStyle w:val="Odstavecseseznamem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454D0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 w:rsidR="001B2A06">
        <w:rPr>
          <w:rFonts w:ascii="Arial" w:hAnsi="Arial" w:cs="Arial"/>
          <w:sz w:val="24"/>
          <w:szCs w:val="24"/>
        </w:rPr>
        <w:t>;</w:t>
      </w:r>
    </w:p>
    <w:p w14:paraId="009B604A" w14:textId="1E0D38F1" w:rsidR="00512E17" w:rsidRPr="002E7681" w:rsidRDefault="00512E17" w:rsidP="002E7681">
      <w:pPr>
        <w:pStyle w:val="Odstavecseseznamem"/>
        <w:numPr>
          <w:ilvl w:val="0"/>
          <w:numId w:val="9"/>
        </w:numPr>
        <w:spacing w:after="120" w:line="180" w:lineRule="atLeast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54D0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 w:rsidR="001B2A06">
        <w:rPr>
          <w:rFonts w:ascii="Arial" w:hAnsi="Arial" w:cs="Arial"/>
          <w:sz w:val="24"/>
          <w:szCs w:val="24"/>
        </w:rPr>
        <w:t>;</w:t>
      </w:r>
    </w:p>
    <w:p w14:paraId="62988D54" w14:textId="54507A43" w:rsidR="00937E8C" w:rsidRPr="00844A32" w:rsidRDefault="001B2A06" w:rsidP="00844A32">
      <w:pPr>
        <w:pStyle w:val="Odstavecseseznamem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</w:t>
      </w:r>
      <w:r w:rsidR="00512E17" w:rsidRPr="00454D0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další související právní předpisy.</w:t>
      </w:r>
    </w:p>
    <w:p w14:paraId="7C191D34" w14:textId="5FC7A959" w:rsidR="00937E8C" w:rsidRPr="002E7681" w:rsidRDefault="00937E8C" w:rsidP="002E7681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1B2A06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233D4159" w14:textId="09B8A8A8" w:rsidR="00937E8C" w:rsidRPr="00EC65AA" w:rsidRDefault="00937E8C" w:rsidP="002E7681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 w:rsidR="00927E45"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přílohou </w:t>
      </w:r>
      <w:r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základního povolení vydávaného dle ZHH a jeho znění bylo schváleno Ministerstvem financí ČR.</w:t>
      </w:r>
    </w:p>
    <w:p w14:paraId="38F44C5B" w14:textId="0C2AE909" w:rsidR="00AE7DF8" w:rsidRPr="00EC65AA" w:rsidRDefault="00BE24D5" w:rsidP="002E7681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právních předpisů mají přednost před ustanovením herního plánu. </w:t>
      </w:r>
      <w:r w:rsidR="00937E8C"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 w:rsidR="007A3DF7"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="00937E8C"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 w:rsidR="007A3DF7"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937E8C"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 w:rsidR="007A3DF7"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="00937E8C" w:rsidRPr="00EC65A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30FFB655" w14:textId="103A944B" w:rsidR="008832B7" w:rsidRPr="00EC65AA" w:rsidRDefault="00543CE3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EC65AA">
        <w:rPr>
          <w:rFonts w:ascii="Arial" w:hAnsi="Arial" w:cs="Arial"/>
          <w:b/>
          <w:sz w:val="24"/>
          <w:szCs w:val="24"/>
        </w:rPr>
        <w:t>Obecná p</w:t>
      </w:r>
      <w:r w:rsidR="008832B7" w:rsidRPr="00EC65AA">
        <w:rPr>
          <w:rFonts w:ascii="Arial" w:hAnsi="Arial" w:cs="Arial"/>
          <w:b/>
          <w:sz w:val="24"/>
          <w:szCs w:val="24"/>
        </w:rPr>
        <w:t xml:space="preserve">ravidla </w:t>
      </w:r>
      <w:r w:rsidRPr="00EC65AA">
        <w:rPr>
          <w:rFonts w:ascii="Arial" w:hAnsi="Arial" w:cs="Arial"/>
          <w:b/>
          <w:sz w:val="24"/>
          <w:szCs w:val="24"/>
        </w:rPr>
        <w:t>účasti na hazardní hře</w:t>
      </w:r>
    </w:p>
    <w:p w14:paraId="083C46B3" w14:textId="77777777" w:rsidR="001B370E" w:rsidRDefault="00572DF2" w:rsidP="00572DF2">
      <w:pPr>
        <w:jc w:val="both"/>
        <w:rPr>
          <w:rFonts w:ascii="Arial" w:hAnsi="Arial" w:cs="Arial"/>
          <w:sz w:val="24"/>
          <w:szCs w:val="24"/>
        </w:rPr>
      </w:pPr>
      <w:r w:rsidRPr="00EC65AA">
        <w:rPr>
          <w:rFonts w:ascii="Arial" w:hAnsi="Arial" w:cs="Arial"/>
          <w:sz w:val="24"/>
          <w:szCs w:val="24"/>
        </w:rPr>
        <w:t>Obecná pravidla provozování hazardních her jsou upravena v ZHH. ZHH upra</w:t>
      </w:r>
      <w:r w:rsidR="00660B9A" w:rsidRPr="00EC65AA">
        <w:rPr>
          <w:rFonts w:ascii="Arial" w:hAnsi="Arial" w:cs="Arial"/>
          <w:sz w:val="24"/>
          <w:szCs w:val="24"/>
        </w:rPr>
        <w:t>vuje zejména pravidla identifikace</w:t>
      </w:r>
      <w:r w:rsidRPr="00EC65AA">
        <w:rPr>
          <w:rFonts w:ascii="Arial" w:hAnsi="Arial" w:cs="Arial"/>
          <w:sz w:val="24"/>
          <w:szCs w:val="24"/>
        </w:rPr>
        <w:t>, informační povinnost provozovatele, základní pravidla pro vyplácení výhry sázejícímu a další.</w:t>
      </w:r>
    </w:p>
    <w:p w14:paraId="6A037857" w14:textId="25A86525" w:rsidR="00572DF2" w:rsidRDefault="00572DF2" w:rsidP="00572DF2">
      <w:pPr>
        <w:jc w:val="both"/>
        <w:rPr>
          <w:rFonts w:ascii="Arial" w:hAnsi="Arial" w:cs="Arial"/>
          <w:sz w:val="24"/>
          <w:szCs w:val="24"/>
        </w:rPr>
      </w:pPr>
      <w:r w:rsidRPr="00EC65AA">
        <w:rPr>
          <w:rFonts w:ascii="Arial" w:hAnsi="Arial" w:cs="Arial"/>
          <w:sz w:val="24"/>
          <w:szCs w:val="24"/>
        </w:rPr>
        <w:t xml:space="preserve">Pro účely omezení míry rizikového hraní provozovatel účastníkům hazardní hry poskytuje nástroje pro zodpovědné hraní, jejichž popis je upraven v ZHH – jedná se zejména o Rejstřík fyzických osob vyloučených z účasti na hazardních hrách, </w:t>
      </w:r>
      <w:r w:rsidR="006B41E3" w:rsidRPr="00EC65AA">
        <w:rPr>
          <w:rFonts w:ascii="Arial" w:hAnsi="Arial" w:cs="Arial"/>
          <w:sz w:val="24"/>
          <w:szCs w:val="24"/>
        </w:rPr>
        <w:t>možnost nastavení s</w:t>
      </w:r>
      <w:r w:rsidRPr="00EC65AA">
        <w:rPr>
          <w:rFonts w:ascii="Arial" w:hAnsi="Arial" w:cs="Arial"/>
          <w:sz w:val="24"/>
          <w:szCs w:val="24"/>
        </w:rPr>
        <w:t>ebeomezující</w:t>
      </w:r>
      <w:r w:rsidR="006B41E3" w:rsidRPr="00EC65AA">
        <w:rPr>
          <w:rFonts w:ascii="Arial" w:hAnsi="Arial" w:cs="Arial"/>
          <w:sz w:val="24"/>
          <w:szCs w:val="24"/>
        </w:rPr>
        <w:t>ch</w:t>
      </w:r>
      <w:r w:rsidRPr="00EC65AA">
        <w:rPr>
          <w:rFonts w:ascii="Arial" w:hAnsi="Arial" w:cs="Arial"/>
          <w:sz w:val="24"/>
          <w:szCs w:val="24"/>
        </w:rPr>
        <w:t xml:space="preserve"> opatření a </w:t>
      </w:r>
      <w:r w:rsidR="006B41E3" w:rsidRPr="00EC65AA">
        <w:rPr>
          <w:rFonts w:ascii="Arial" w:hAnsi="Arial" w:cs="Arial"/>
          <w:sz w:val="24"/>
          <w:szCs w:val="24"/>
        </w:rPr>
        <w:t>možnost využití prostředku</w:t>
      </w:r>
      <w:r w:rsidRPr="00EC65AA">
        <w:rPr>
          <w:rFonts w:ascii="Arial" w:hAnsi="Arial" w:cs="Arial"/>
          <w:sz w:val="24"/>
          <w:szCs w:val="24"/>
        </w:rPr>
        <w:t xml:space="preserve"> pro zamezení účasti na hazardní hře.</w:t>
      </w:r>
    </w:p>
    <w:p w14:paraId="483D0BA4" w14:textId="6C1E6B85" w:rsidR="00C165EA" w:rsidRDefault="00C165EA" w:rsidP="00572DF2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lastRenderedPageBreak/>
        <w:t xml:space="preserve">Pokud provozovatel umožňuje nastavení hodnot sebeomezujících opatření společně pro více druhů, uvede následující formulaci a vyplní druhy hazardních her. Pokud nastavuje hodnoty opatření pouze pro </w:t>
      </w:r>
      <w:r>
        <w:rPr>
          <w:rFonts w:ascii="Arial" w:hAnsi="Arial" w:cs="Arial"/>
          <w:sz w:val="24"/>
          <w:szCs w:val="24"/>
          <w:highlight w:val="cyan"/>
        </w:rPr>
        <w:t>živou hru land-based</w:t>
      </w:r>
      <w:r w:rsidRPr="00791574">
        <w:rPr>
          <w:rFonts w:ascii="Arial" w:hAnsi="Arial" w:cs="Arial"/>
          <w:sz w:val="24"/>
          <w:szCs w:val="24"/>
          <w:highlight w:val="cyan"/>
        </w:rPr>
        <w:t xml:space="preserve">, formulaci neuvádí. </w:t>
      </w:r>
      <w:r w:rsidRPr="00446DAC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E91759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 následující druhy hazardních her: XXX.</w:t>
      </w:r>
      <w:r w:rsidR="00446DAC">
        <w:rPr>
          <w:rFonts w:ascii="Arial" w:hAnsi="Arial" w:cs="Arial"/>
          <w:sz w:val="24"/>
          <w:szCs w:val="24"/>
        </w:rPr>
        <w:t xml:space="preserve"> </w:t>
      </w:r>
    </w:p>
    <w:p w14:paraId="7DBB054E" w14:textId="36DF822A" w:rsidR="00496289" w:rsidRDefault="00496289" w:rsidP="00572DF2">
      <w:pPr>
        <w:jc w:val="both"/>
        <w:rPr>
          <w:rFonts w:ascii="Arial" w:hAnsi="Arial" w:cs="Arial"/>
          <w:i/>
          <w:sz w:val="24"/>
          <w:szCs w:val="24"/>
        </w:rPr>
      </w:pPr>
      <w:r w:rsidRPr="00446DAC">
        <w:rPr>
          <w:rFonts w:ascii="Arial" w:hAnsi="Arial" w:cs="Arial"/>
          <w:i/>
          <w:sz w:val="24"/>
          <w:szCs w:val="24"/>
          <w:highlight w:val="cyan"/>
        </w:rPr>
        <w:t>Provozovatel v případ</w:t>
      </w:r>
      <w:r w:rsidR="00C82476">
        <w:rPr>
          <w:rFonts w:ascii="Arial" w:hAnsi="Arial" w:cs="Arial"/>
          <w:i/>
          <w:sz w:val="24"/>
          <w:szCs w:val="24"/>
          <w:highlight w:val="cyan"/>
        </w:rPr>
        <w:t>ě</w:t>
      </w:r>
      <w:r w:rsidRPr="00446DAC">
        <w:rPr>
          <w:rFonts w:ascii="Arial" w:hAnsi="Arial" w:cs="Arial"/>
          <w:i/>
          <w:sz w:val="24"/>
          <w:szCs w:val="24"/>
          <w:highlight w:val="cyan"/>
        </w:rPr>
        <w:t xml:space="preserve"> </w:t>
      </w:r>
      <w:r w:rsidR="00631BEE" w:rsidRPr="00446DAC">
        <w:rPr>
          <w:rFonts w:ascii="Arial" w:hAnsi="Arial" w:cs="Arial"/>
          <w:i/>
          <w:sz w:val="24"/>
          <w:szCs w:val="24"/>
          <w:highlight w:val="cyan"/>
        </w:rPr>
        <w:t>živé hry land</w:t>
      </w:r>
      <w:r w:rsidR="00030E9C" w:rsidRPr="00446DAC">
        <w:rPr>
          <w:rFonts w:ascii="Arial" w:hAnsi="Arial" w:cs="Arial"/>
          <w:i/>
          <w:sz w:val="24"/>
          <w:szCs w:val="24"/>
          <w:highlight w:val="cyan"/>
        </w:rPr>
        <w:t>-</w:t>
      </w:r>
      <w:r w:rsidR="00631BEE" w:rsidRPr="00446DAC">
        <w:rPr>
          <w:rFonts w:ascii="Arial" w:hAnsi="Arial" w:cs="Arial"/>
          <w:i/>
          <w:sz w:val="24"/>
          <w:szCs w:val="24"/>
          <w:highlight w:val="cyan"/>
        </w:rPr>
        <w:t>based</w:t>
      </w:r>
      <w:r w:rsidRPr="00446DAC">
        <w:rPr>
          <w:rFonts w:ascii="Arial" w:hAnsi="Arial" w:cs="Arial"/>
          <w:i/>
          <w:sz w:val="24"/>
          <w:szCs w:val="24"/>
          <w:highlight w:val="cyan"/>
        </w:rPr>
        <w:t xml:space="preserve"> uvede, pokud zřizuje pro tyto hry sázejícím jiné obdobné konto, zda umožňuje převody peněžních nebo hracích prostředků mezi uživatelskými konty, a tedy zda je registrace podmínkou účasti i na </w:t>
      </w:r>
      <w:r w:rsidR="00B244B9" w:rsidRPr="00446DAC">
        <w:rPr>
          <w:rFonts w:ascii="Arial" w:hAnsi="Arial" w:cs="Arial"/>
          <w:i/>
          <w:sz w:val="24"/>
          <w:szCs w:val="24"/>
          <w:highlight w:val="cyan"/>
        </w:rPr>
        <w:t xml:space="preserve">tomto </w:t>
      </w:r>
      <w:r w:rsidRPr="00446DAC">
        <w:rPr>
          <w:rFonts w:ascii="Arial" w:hAnsi="Arial" w:cs="Arial"/>
          <w:i/>
          <w:sz w:val="24"/>
          <w:szCs w:val="24"/>
          <w:highlight w:val="cyan"/>
        </w:rPr>
        <w:t>dru</w:t>
      </w:r>
      <w:r w:rsidR="00B244B9" w:rsidRPr="00446DAC">
        <w:rPr>
          <w:rFonts w:ascii="Arial" w:hAnsi="Arial" w:cs="Arial"/>
          <w:i/>
          <w:sz w:val="24"/>
          <w:szCs w:val="24"/>
          <w:highlight w:val="cyan"/>
        </w:rPr>
        <w:t>hu</w:t>
      </w:r>
      <w:r w:rsidRPr="00446DAC">
        <w:rPr>
          <w:rFonts w:ascii="Arial" w:hAnsi="Arial" w:cs="Arial"/>
          <w:i/>
          <w:sz w:val="24"/>
          <w:szCs w:val="24"/>
          <w:highlight w:val="cyan"/>
        </w:rPr>
        <w:t xml:space="preserve"> hazardní hr</w:t>
      </w:r>
      <w:r w:rsidR="00B244B9" w:rsidRPr="00446DAC">
        <w:rPr>
          <w:rFonts w:ascii="Arial" w:hAnsi="Arial" w:cs="Arial"/>
          <w:i/>
          <w:sz w:val="24"/>
          <w:szCs w:val="24"/>
          <w:highlight w:val="cyan"/>
        </w:rPr>
        <w:t>y</w:t>
      </w:r>
      <w:r w:rsidR="00446DAC">
        <w:rPr>
          <w:rFonts w:ascii="Arial" w:hAnsi="Arial" w:cs="Arial"/>
          <w:i/>
          <w:sz w:val="24"/>
          <w:szCs w:val="24"/>
          <w:highlight w:val="cyan"/>
        </w:rPr>
        <w:t xml:space="preserve">, a to následující formulací: </w:t>
      </w:r>
      <w:r w:rsidRPr="00E91759">
        <w:rPr>
          <w:rFonts w:ascii="Arial" w:hAnsi="Arial" w:cs="Arial"/>
          <w:i/>
          <w:sz w:val="24"/>
          <w:szCs w:val="24"/>
          <w:highlight w:val="green"/>
        </w:rPr>
        <w:t>„Provozovatel zřizuje jiné obdobné konto sázejícím k</w:t>
      </w:r>
      <w:r w:rsidR="007666B8" w:rsidRPr="00E91759">
        <w:rPr>
          <w:rFonts w:ascii="Arial" w:hAnsi="Arial" w:cs="Arial"/>
          <w:i/>
          <w:sz w:val="24"/>
          <w:szCs w:val="24"/>
          <w:highlight w:val="green"/>
        </w:rPr>
        <w:t> účasti na živé hře</w:t>
      </w:r>
      <w:r w:rsidRPr="00E91759">
        <w:rPr>
          <w:rFonts w:ascii="Arial" w:hAnsi="Arial" w:cs="Arial"/>
          <w:i/>
          <w:sz w:val="24"/>
          <w:szCs w:val="24"/>
          <w:highlight w:val="green"/>
        </w:rPr>
        <w:t xml:space="preserve"> land</w:t>
      </w:r>
      <w:r w:rsidR="00030E9C" w:rsidRPr="00E91759">
        <w:rPr>
          <w:rFonts w:ascii="Arial" w:hAnsi="Arial" w:cs="Arial"/>
          <w:i/>
          <w:sz w:val="24"/>
          <w:szCs w:val="24"/>
          <w:highlight w:val="green"/>
        </w:rPr>
        <w:t>-</w:t>
      </w:r>
      <w:r w:rsidRPr="00E91759">
        <w:rPr>
          <w:rFonts w:ascii="Arial" w:hAnsi="Arial" w:cs="Arial"/>
          <w:i/>
          <w:sz w:val="24"/>
          <w:szCs w:val="24"/>
          <w:highlight w:val="green"/>
        </w:rPr>
        <w:t>based. Pravidla pro zřízení, vedení a zrušení uživatelského konta podle ZHH se na toto obdobné konto použijí obdobně. Podmínkou účasti na této hře je registrace. Registrace je dokončena okamžikem zřízení uživatelského konta a přidělením přístupových údajů nebo jiného přístupového prostředku k němu. Je umožněn převod peněžních nebo hracích peněžních prostředků mezi tímto obdobným kontem a jinými uživatelskými konty k provozování dalších druhů hazardních her provozovatelem.“</w:t>
      </w:r>
    </w:p>
    <w:p w14:paraId="37915103" w14:textId="7F56C84C" w:rsidR="00C82476" w:rsidRDefault="00C82476" w:rsidP="00572DF2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pro živou hru land-based a jiné druhy hazardních her (pokud společné konto není, formulace se neuvádí)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</w:t>
      </w:r>
      <w:r>
        <w:rPr>
          <w:rFonts w:ascii="Arial" w:hAnsi="Arial" w:cs="Arial"/>
          <w:sz w:val="24"/>
          <w:szCs w:val="24"/>
          <w:highlight w:val="cyan"/>
        </w:rPr>
        <w:t> </w:t>
      </w:r>
      <w:r w:rsidRPr="00130E5B">
        <w:rPr>
          <w:rFonts w:ascii="Arial" w:hAnsi="Arial" w:cs="Arial"/>
          <w:sz w:val="24"/>
          <w:szCs w:val="24"/>
          <w:highlight w:val="cyan"/>
        </w:rPr>
        <w:t>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společný účet pro peněžní a hrací prostředky sázejícího určené k</w:t>
      </w:r>
      <w:r>
        <w:rPr>
          <w:rFonts w:ascii="Arial" w:hAnsi="Arial" w:cs="Arial"/>
          <w:sz w:val="24"/>
          <w:szCs w:val="24"/>
          <w:highlight w:val="green"/>
        </w:rPr>
        <w:t> účasti na živé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hře</w:t>
      </w:r>
      <w:r>
        <w:rPr>
          <w:rFonts w:ascii="Arial" w:hAnsi="Arial" w:cs="Arial"/>
          <w:sz w:val="24"/>
          <w:szCs w:val="24"/>
          <w:highlight w:val="green"/>
        </w:rPr>
        <w:t xml:space="preserve"> land-based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oddělené pod</w:t>
      </w:r>
      <w:r>
        <w:rPr>
          <w:rFonts w:ascii="Arial" w:hAnsi="Arial" w:cs="Arial"/>
          <w:sz w:val="24"/>
          <w:szCs w:val="24"/>
          <w:highlight w:val="green"/>
        </w:rPr>
        <w:t>účty pro živou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h</w:t>
      </w:r>
      <w:r>
        <w:rPr>
          <w:rFonts w:ascii="Arial" w:hAnsi="Arial" w:cs="Arial"/>
          <w:sz w:val="24"/>
          <w:szCs w:val="24"/>
          <w:highlight w:val="green"/>
        </w:rPr>
        <w:t>ru land-based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3F4EF688" w14:textId="160066F8" w:rsidR="00DC49BD" w:rsidRPr="00DC49BD" w:rsidRDefault="00DC49BD" w:rsidP="00572DF2">
      <w:pPr>
        <w:jc w:val="both"/>
        <w:rPr>
          <w:rFonts w:ascii="Arial" w:hAnsi="Arial" w:cs="Arial"/>
          <w:sz w:val="24"/>
          <w:szCs w:val="24"/>
        </w:rPr>
      </w:pPr>
      <w:r w:rsidRPr="00EC65AA"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7820959A" w14:textId="55D12CF7" w:rsidR="005E0388" w:rsidRPr="00EC65AA" w:rsidRDefault="008832B7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EC65AA">
        <w:rPr>
          <w:rFonts w:ascii="Arial" w:hAnsi="Arial" w:cs="Arial"/>
          <w:b/>
          <w:sz w:val="24"/>
          <w:szCs w:val="24"/>
        </w:rPr>
        <w:t>Způsob provedení slosování/zjištění okolnosti, jež určuje výhru</w:t>
      </w:r>
    </w:p>
    <w:p w14:paraId="4F0A49BE" w14:textId="65044994" w:rsidR="001A1888" w:rsidRPr="00EC65AA" w:rsidRDefault="00F3015C" w:rsidP="00435CBF">
      <w:pPr>
        <w:jc w:val="both"/>
        <w:rPr>
          <w:rFonts w:ascii="Arial" w:hAnsi="Arial" w:cs="Arial"/>
          <w:sz w:val="24"/>
          <w:szCs w:val="24"/>
        </w:rPr>
      </w:pPr>
      <w:r w:rsidRPr="00EC65AA">
        <w:rPr>
          <w:rFonts w:ascii="Arial" w:hAnsi="Arial" w:cs="Arial"/>
          <w:sz w:val="24"/>
          <w:szCs w:val="24"/>
        </w:rPr>
        <w:t>Z</w:t>
      </w:r>
      <w:r w:rsidR="00037C98" w:rsidRPr="00EC65AA">
        <w:rPr>
          <w:rFonts w:ascii="Arial" w:hAnsi="Arial" w:cs="Arial"/>
          <w:sz w:val="24"/>
          <w:szCs w:val="24"/>
        </w:rPr>
        <w:t xml:space="preserve">působ zjištění okolnosti, jež určuje výhru, </w:t>
      </w:r>
      <w:r w:rsidRPr="00EC65AA">
        <w:rPr>
          <w:rFonts w:ascii="Arial" w:hAnsi="Arial" w:cs="Arial"/>
          <w:sz w:val="24"/>
          <w:szCs w:val="24"/>
        </w:rPr>
        <w:t xml:space="preserve">je </w:t>
      </w:r>
      <w:r w:rsidR="00037C98" w:rsidRPr="00EC65AA">
        <w:rPr>
          <w:rFonts w:ascii="Arial" w:hAnsi="Arial" w:cs="Arial"/>
          <w:sz w:val="24"/>
          <w:szCs w:val="24"/>
        </w:rPr>
        <w:t xml:space="preserve">upraven ve zvláštní části herního plánu ve vztahu ke každé jednotlivé </w:t>
      </w:r>
      <w:r w:rsidR="006D10A9" w:rsidRPr="00EC65AA">
        <w:rPr>
          <w:rFonts w:ascii="Arial" w:hAnsi="Arial" w:cs="Arial"/>
          <w:sz w:val="24"/>
          <w:szCs w:val="24"/>
        </w:rPr>
        <w:t xml:space="preserve">živé </w:t>
      </w:r>
      <w:r w:rsidR="00037C98" w:rsidRPr="00EC65AA">
        <w:rPr>
          <w:rFonts w:ascii="Arial" w:hAnsi="Arial" w:cs="Arial"/>
          <w:sz w:val="24"/>
          <w:szCs w:val="24"/>
        </w:rPr>
        <w:t>hře.</w:t>
      </w:r>
      <w:r w:rsidR="00DC5127" w:rsidRPr="00EC65AA">
        <w:rPr>
          <w:rFonts w:ascii="Arial" w:hAnsi="Arial" w:cs="Arial"/>
          <w:sz w:val="24"/>
          <w:szCs w:val="24"/>
        </w:rPr>
        <w:t xml:space="preserve"> Hra je provozována </w:t>
      </w:r>
      <w:r w:rsidR="006D10A9" w:rsidRPr="00EC65AA">
        <w:rPr>
          <w:rFonts w:ascii="Arial" w:hAnsi="Arial" w:cs="Arial"/>
          <w:sz w:val="24"/>
          <w:szCs w:val="24"/>
        </w:rPr>
        <w:t>na hracích stolech</w:t>
      </w:r>
      <w:r w:rsidR="003534C3" w:rsidRPr="00EC65AA">
        <w:rPr>
          <w:rFonts w:ascii="Arial" w:hAnsi="Arial" w:cs="Arial"/>
          <w:sz w:val="24"/>
          <w:szCs w:val="24"/>
        </w:rPr>
        <w:t xml:space="preserve"> živé hry a je přímo obsluhována krupiérem. V živé hře, kde sáz</w:t>
      </w:r>
      <w:r w:rsidR="005257A2" w:rsidRPr="00EC65AA">
        <w:rPr>
          <w:rFonts w:ascii="Arial" w:hAnsi="Arial" w:cs="Arial"/>
          <w:sz w:val="24"/>
          <w:szCs w:val="24"/>
        </w:rPr>
        <w:t>ející hrají proti krupiérovi</w:t>
      </w:r>
      <w:r w:rsidR="00BB1B31">
        <w:rPr>
          <w:rFonts w:ascii="Arial" w:hAnsi="Arial" w:cs="Arial"/>
          <w:sz w:val="24"/>
          <w:szCs w:val="24"/>
        </w:rPr>
        <w:t>,</w:t>
      </w:r>
      <w:r w:rsidR="005257A2" w:rsidRPr="00EC65AA">
        <w:rPr>
          <w:rFonts w:ascii="Arial" w:hAnsi="Arial" w:cs="Arial"/>
          <w:sz w:val="24"/>
          <w:szCs w:val="24"/>
        </w:rPr>
        <w:t xml:space="preserve"> je výhra určena </w:t>
      </w:r>
      <w:r w:rsidR="003534C3" w:rsidRPr="00EC65AA">
        <w:rPr>
          <w:rFonts w:ascii="Arial" w:hAnsi="Arial" w:cs="Arial"/>
          <w:sz w:val="24"/>
          <w:szCs w:val="24"/>
        </w:rPr>
        <w:t>konkrétní</w:t>
      </w:r>
      <w:r w:rsidR="005257A2" w:rsidRPr="00EC65AA">
        <w:rPr>
          <w:rFonts w:ascii="Arial" w:hAnsi="Arial" w:cs="Arial"/>
          <w:sz w:val="24"/>
          <w:szCs w:val="24"/>
        </w:rPr>
        <w:t>m</w:t>
      </w:r>
      <w:r w:rsidR="003534C3" w:rsidRPr="00EC65AA">
        <w:rPr>
          <w:rFonts w:ascii="Arial" w:hAnsi="Arial" w:cs="Arial"/>
          <w:sz w:val="24"/>
          <w:szCs w:val="24"/>
        </w:rPr>
        <w:t xml:space="preserve"> pevně daný</w:t>
      </w:r>
      <w:r w:rsidR="005257A2" w:rsidRPr="00EC65AA">
        <w:rPr>
          <w:rFonts w:ascii="Arial" w:hAnsi="Arial" w:cs="Arial"/>
          <w:sz w:val="24"/>
          <w:szCs w:val="24"/>
        </w:rPr>
        <w:t>m</w:t>
      </w:r>
      <w:r w:rsidR="003534C3" w:rsidRPr="00EC65AA">
        <w:rPr>
          <w:rFonts w:ascii="Arial" w:hAnsi="Arial" w:cs="Arial"/>
          <w:sz w:val="24"/>
          <w:szCs w:val="24"/>
        </w:rPr>
        <w:t xml:space="preserve"> výplatní</w:t>
      </w:r>
      <w:r w:rsidR="005257A2" w:rsidRPr="00EC65AA">
        <w:rPr>
          <w:rFonts w:ascii="Arial" w:hAnsi="Arial" w:cs="Arial"/>
          <w:sz w:val="24"/>
          <w:szCs w:val="24"/>
        </w:rPr>
        <w:t>m</w:t>
      </w:r>
      <w:r w:rsidR="003534C3" w:rsidRPr="00EC65AA">
        <w:rPr>
          <w:rFonts w:ascii="Arial" w:hAnsi="Arial" w:cs="Arial"/>
          <w:sz w:val="24"/>
          <w:szCs w:val="24"/>
        </w:rPr>
        <w:t xml:space="preserve"> poměr</w:t>
      </w:r>
      <w:r w:rsidR="005257A2" w:rsidRPr="00EC65AA">
        <w:rPr>
          <w:rFonts w:ascii="Arial" w:hAnsi="Arial" w:cs="Arial"/>
          <w:sz w:val="24"/>
          <w:szCs w:val="24"/>
        </w:rPr>
        <w:t>em</w:t>
      </w:r>
      <w:r w:rsidR="003534C3" w:rsidRPr="00EC65AA">
        <w:rPr>
          <w:rFonts w:ascii="Arial" w:hAnsi="Arial" w:cs="Arial"/>
          <w:sz w:val="24"/>
          <w:szCs w:val="24"/>
        </w:rPr>
        <w:t xml:space="preserve"> pro každý typ sázky, kterým bude v případě dosažení výherní kombinace násobena výše sázky sázejícího.</w:t>
      </w:r>
      <w:r w:rsidR="005257A2" w:rsidRPr="00EC65AA">
        <w:rPr>
          <w:rFonts w:ascii="Arial" w:hAnsi="Arial" w:cs="Arial"/>
          <w:sz w:val="24"/>
          <w:szCs w:val="24"/>
        </w:rPr>
        <w:t xml:space="preserve"> V případě živé hry, kde sázející hrají jeden proti druhému</w:t>
      </w:r>
      <w:r w:rsidR="00BB1B31">
        <w:rPr>
          <w:rFonts w:ascii="Arial" w:hAnsi="Arial" w:cs="Arial"/>
          <w:sz w:val="24"/>
          <w:szCs w:val="24"/>
        </w:rPr>
        <w:t>,</w:t>
      </w:r>
      <w:r w:rsidR="005257A2" w:rsidRPr="00EC65AA">
        <w:rPr>
          <w:rFonts w:ascii="Arial" w:hAnsi="Arial" w:cs="Arial"/>
          <w:sz w:val="24"/>
          <w:szCs w:val="24"/>
        </w:rPr>
        <w:t xml:space="preserve"> je výhra určena porovnáním karetních kombinací jednotlivých hráčů, nebo </w:t>
      </w:r>
      <w:r w:rsidR="00414534" w:rsidRPr="00EC65AA">
        <w:rPr>
          <w:rFonts w:ascii="Arial" w:hAnsi="Arial" w:cs="Arial"/>
          <w:sz w:val="24"/>
          <w:szCs w:val="24"/>
        </w:rPr>
        <w:t>souborem těchto kombinací.</w:t>
      </w:r>
    </w:p>
    <w:p w14:paraId="02B01E83" w14:textId="4D4D9E67" w:rsidR="005E0388" w:rsidRPr="00EC65AA" w:rsidRDefault="005E0388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EC65AA">
        <w:rPr>
          <w:rFonts w:ascii="Arial" w:hAnsi="Arial" w:cs="Arial"/>
          <w:b/>
          <w:sz w:val="24"/>
          <w:szCs w:val="24"/>
        </w:rPr>
        <w:t>Výše</w:t>
      </w:r>
      <w:r w:rsidR="00B3515D" w:rsidRPr="00EC65AA">
        <w:rPr>
          <w:rFonts w:ascii="Arial" w:hAnsi="Arial" w:cs="Arial"/>
          <w:b/>
          <w:sz w:val="24"/>
          <w:szCs w:val="24"/>
        </w:rPr>
        <w:t xml:space="preserve"> výhry nebo způsob jejího určení</w:t>
      </w:r>
    </w:p>
    <w:p w14:paraId="03F1E228" w14:textId="6F35527A" w:rsidR="0035014F" w:rsidRPr="00EC65AA" w:rsidRDefault="0035014F" w:rsidP="0035014F">
      <w:pPr>
        <w:jc w:val="both"/>
        <w:rPr>
          <w:rStyle w:val="Odkazintenzivn"/>
          <w:rFonts w:ascii="Arial" w:hAnsi="Arial" w:cs="Arial"/>
          <w:sz w:val="24"/>
          <w:szCs w:val="24"/>
        </w:rPr>
      </w:pPr>
      <w:r w:rsidRPr="00EC65AA">
        <w:rPr>
          <w:rFonts w:ascii="Arial" w:hAnsi="Arial" w:cs="Arial"/>
          <w:sz w:val="24"/>
          <w:szCs w:val="24"/>
        </w:rPr>
        <w:t xml:space="preserve">Výše výhry je upravena ve zvláštní části herního plánu ve vztahu ke každé jednotlivé </w:t>
      </w:r>
      <w:r w:rsidR="00414534" w:rsidRPr="00EC65AA">
        <w:rPr>
          <w:rFonts w:ascii="Arial" w:hAnsi="Arial" w:cs="Arial"/>
          <w:sz w:val="24"/>
          <w:szCs w:val="24"/>
        </w:rPr>
        <w:t>živé</w:t>
      </w:r>
      <w:r w:rsidR="00480318" w:rsidRPr="00EC65AA">
        <w:rPr>
          <w:rFonts w:ascii="Arial" w:hAnsi="Arial" w:cs="Arial"/>
          <w:sz w:val="24"/>
          <w:szCs w:val="24"/>
        </w:rPr>
        <w:t xml:space="preserve"> hře</w:t>
      </w:r>
      <w:r w:rsidRPr="00EC65AA">
        <w:rPr>
          <w:rFonts w:ascii="Arial" w:hAnsi="Arial" w:cs="Arial"/>
          <w:sz w:val="24"/>
          <w:szCs w:val="24"/>
        </w:rPr>
        <w:t>.</w:t>
      </w:r>
      <w:r w:rsidR="00480318" w:rsidRPr="00EC65AA">
        <w:rPr>
          <w:rFonts w:ascii="Arial" w:hAnsi="Arial" w:cs="Arial"/>
          <w:sz w:val="24"/>
          <w:szCs w:val="24"/>
        </w:rPr>
        <w:t xml:space="preserve"> </w:t>
      </w:r>
    </w:p>
    <w:p w14:paraId="386CBB02" w14:textId="59E66AB8" w:rsidR="00480318" w:rsidRPr="00EC65AA" w:rsidRDefault="005E0388" w:rsidP="007B23B1">
      <w:pPr>
        <w:pStyle w:val="Odstavecseseznamem"/>
        <w:keepNext/>
        <w:numPr>
          <w:ilvl w:val="0"/>
          <w:numId w:val="1"/>
        </w:numPr>
        <w:ind w:left="357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EC65AA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5BC07999" w14:textId="178A3BE8" w:rsidR="00FB41EF" w:rsidRPr="00FD28AD" w:rsidRDefault="00FB41EF" w:rsidP="00FD28AD">
      <w:pPr>
        <w:pStyle w:val="Odstavecseseznamem"/>
        <w:numPr>
          <w:ilvl w:val="0"/>
          <w:numId w:val="10"/>
        </w:num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FD28AD">
        <w:rPr>
          <w:rFonts w:ascii="Arial" w:hAnsi="Arial" w:cs="Arial"/>
          <w:b/>
          <w:sz w:val="24"/>
          <w:szCs w:val="24"/>
          <w:highlight w:val="cyan"/>
        </w:rPr>
        <w:t>pro případ kdy uživatelské konto není zřizováno</w:t>
      </w:r>
    </w:p>
    <w:p w14:paraId="61E8990B" w14:textId="34A2F4D7" w:rsidR="00DF0764" w:rsidRDefault="00FB41EF" w:rsidP="00FB41E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0B7E0D">
        <w:rPr>
          <w:rFonts w:ascii="Arial" w:hAnsi="Arial" w:cs="Arial"/>
          <w:sz w:val="24"/>
          <w:szCs w:val="24"/>
          <w:highlight w:val="green"/>
        </w:rPr>
        <w:lastRenderedPageBreak/>
        <w:t>V případě živé hry land-based s výjimkou karetního turnaje je provozovatel povinen vyplatit výhru u hracího stolu živé hry v hodnotových nebo hracích žetonech bezodkladně po vyhodnocení hry hazardní hry</w:t>
      </w:r>
      <w:r>
        <w:rPr>
          <w:rFonts w:ascii="Arial" w:hAnsi="Arial" w:cs="Arial"/>
          <w:sz w:val="24"/>
          <w:szCs w:val="24"/>
        </w:rPr>
        <w:t>.</w:t>
      </w:r>
      <w:r w:rsidR="00993543">
        <w:rPr>
          <w:rFonts w:ascii="Arial" w:hAnsi="Arial" w:cs="Arial"/>
          <w:sz w:val="24"/>
          <w:szCs w:val="24"/>
        </w:rPr>
        <w:t xml:space="preserve"> </w:t>
      </w:r>
    </w:p>
    <w:p w14:paraId="23D94CA4" w14:textId="77777777" w:rsidR="00DF0764" w:rsidRDefault="00DF0764" w:rsidP="00FB41EF">
      <w:pPr>
        <w:spacing w:after="120"/>
        <w:jc w:val="both"/>
        <w:rPr>
          <w:rFonts w:ascii="Arial" w:hAnsi="Arial" w:cs="Arial"/>
          <w:sz w:val="24"/>
          <w:szCs w:val="24"/>
          <w:highlight w:val="cyan"/>
        </w:rPr>
      </w:pPr>
      <w:r w:rsidRPr="000B7E0D">
        <w:rPr>
          <w:rFonts w:ascii="Arial" w:hAnsi="Arial" w:cs="Arial"/>
          <w:sz w:val="24"/>
          <w:szCs w:val="24"/>
          <w:highlight w:val="cyan"/>
        </w:rPr>
        <w:t xml:space="preserve">(pro případ kdy </w:t>
      </w:r>
      <w:r>
        <w:rPr>
          <w:rFonts w:ascii="Arial" w:hAnsi="Arial" w:cs="Arial"/>
          <w:sz w:val="24"/>
          <w:szCs w:val="24"/>
          <w:highlight w:val="cyan"/>
        </w:rPr>
        <w:t xml:space="preserve">provozovatel používá hrací žetony) </w:t>
      </w:r>
    </w:p>
    <w:p w14:paraId="322B609F" w14:textId="7EE7F61A" w:rsidR="00FB41EF" w:rsidRDefault="00FB41EF" w:rsidP="00FB41E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F0764">
        <w:rPr>
          <w:rFonts w:ascii="Arial" w:hAnsi="Arial" w:cs="Arial"/>
          <w:sz w:val="24"/>
          <w:szCs w:val="24"/>
          <w:highlight w:val="green"/>
        </w:rPr>
        <w:t>Hrací žetony je krupiér povinen vyměnit za hodnotové žetony u hracího stolu živé hry, kdykoliv o to účastník hazardní hry požádá.</w:t>
      </w:r>
    </w:p>
    <w:p w14:paraId="45268549" w14:textId="44F5B184" w:rsidR="00FB41EF" w:rsidRDefault="00FB41EF" w:rsidP="00FB41EF">
      <w:p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Provozovatel je povinen vyměnit hodnotové žetony předložené v pokladně kasina za peněžní prostředky. Pokud s tím účastník hazardní hry souhlasí, může provozovatel vyplatit tyto peněžní prostředky bezhotovostním převodem. V případě bezhotovostního převodu vydá provozovatel potvrzení o uplatnění nároku na výplatu peněžních prostředků proti hodnotovým žetonům</w:t>
      </w:r>
      <w:r w:rsidR="007E0F51">
        <w:rPr>
          <w:rFonts w:ascii="Arial" w:hAnsi="Arial" w:cs="Arial"/>
          <w:sz w:val="24"/>
          <w:szCs w:val="24"/>
        </w:rPr>
        <w:t xml:space="preserve"> podle ZHH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20A7ED12" w14:textId="553F3564" w:rsidR="00B15C6D" w:rsidRPr="00B15C6D" w:rsidRDefault="00B15C6D" w:rsidP="00FB41EF">
      <w:pPr>
        <w:spacing w:after="120"/>
        <w:jc w:val="both"/>
        <w:rPr>
          <w:rFonts w:ascii="Arial" w:hAnsi="Arial" w:cs="Arial"/>
          <w:sz w:val="24"/>
          <w:szCs w:val="24"/>
          <w:highlight w:val="cyan"/>
        </w:rPr>
      </w:pPr>
      <w:r w:rsidRPr="000B7E0D">
        <w:rPr>
          <w:rFonts w:ascii="Arial" w:hAnsi="Arial" w:cs="Arial"/>
          <w:sz w:val="24"/>
          <w:szCs w:val="24"/>
          <w:highlight w:val="cyan"/>
        </w:rPr>
        <w:t xml:space="preserve">(pro případ kdy </w:t>
      </w:r>
      <w:r>
        <w:rPr>
          <w:rFonts w:ascii="Arial" w:hAnsi="Arial" w:cs="Arial"/>
          <w:sz w:val="24"/>
          <w:szCs w:val="24"/>
          <w:highlight w:val="cyan"/>
        </w:rPr>
        <w:t xml:space="preserve">provozovatel provozuje turnaje) </w:t>
      </w:r>
    </w:p>
    <w:p w14:paraId="329DA8A4" w14:textId="77777777" w:rsidR="00096BEB" w:rsidRDefault="00096BEB" w:rsidP="00FB41E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B15C6D">
        <w:rPr>
          <w:rFonts w:ascii="Arial" w:hAnsi="Arial" w:cs="Arial"/>
          <w:sz w:val="24"/>
          <w:szCs w:val="24"/>
          <w:highlight w:val="green"/>
        </w:rPr>
        <w:t>V případě karetního turnaje je provozovatel povinen vyplatit výhru ihned po vyhodnocení karetního turnaje na základě uplatnění nároku na výhru sázejícím. Provozovatel vyplatí výhru bez zbytečného odkladu po uplatnění nároku, a to na místě, kde je nárok uplatněn, nebo bezhotovostním převodem, pokud s tím účastník hazardní hry souhlasí nebo je-li tak provozovatel povinen učinit podle zákona upravujícího omezení plateb v hotovosti. Pokud nelze z omluvitelného důvodu vyplatit výhru bezodkladně, je provozovatel povinen vyplatit výhru nejpozději do 60 dnů ode dne uplatnění nároku. V takovém případě je provozovatel povinen vydat účastníkovi hazardní hry potvrzení o uplatnění nároku na výhru podle ZHH.</w:t>
      </w:r>
    </w:p>
    <w:p w14:paraId="71D423F9" w14:textId="749F02E2" w:rsidR="00FB41EF" w:rsidRPr="00FD28AD" w:rsidRDefault="00FB41EF" w:rsidP="00FD28AD">
      <w:pPr>
        <w:pStyle w:val="Odstavecseseznamem"/>
        <w:numPr>
          <w:ilvl w:val="0"/>
          <w:numId w:val="10"/>
        </w:num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FD28AD">
        <w:rPr>
          <w:rFonts w:ascii="Arial" w:hAnsi="Arial" w:cs="Arial"/>
          <w:b/>
          <w:sz w:val="24"/>
          <w:szCs w:val="24"/>
          <w:highlight w:val="cyan"/>
        </w:rPr>
        <w:t>pro případ kdy uživatelské konto je zřizováno</w:t>
      </w:r>
    </w:p>
    <w:p w14:paraId="7274FB38" w14:textId="77777777" w:rsidR="00FB41EF" w:rsidRPr="000B7E0D" w:rsidRDefault="00FB41EF" w:rsidP="00FB41EF">
      <w:pPr>
        <w:spacing w:after="120"/>
        <w:jc w:val="both"/>
        <w:rPr>
          <w:rFonts w:ascii="Arial" w:hAnsi="Arial" w:cs="Arial"/>
          <w:sz w:val="24"/>
          <w:szCs w:val="24"/>
          <w:highlight w:val="green"/>
        </w:rPr>
      </w:pPr>
      <w:r w:rsidRPr="000B7E0D">
        <w:rPr>
          <w:rFonts w:ascii="Arial" w:hAnsi="Arial" w:cs="Arial"/>
          <w:sz w:val="24"/>
          <w:szCs w:val="24"/>
          <w:highlight w:val="green"/>
        </w:rPr>
        <w:t>Provozovatel vyplatí výhru na uživatelské konto bez zbytečného odkladu, nejpozději do 30 dnů ode dne jejího vyhodnocení.</w:t>
      </w:r>
    </w:p>
    <w:p w14:paraId="0CD6859D" w14:textId="77777777" w:rsidR="00FB41EF" w:rsidRDefault="00FB41EF" w:rsidP="00FB41E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0B7E0D">
        <w:rPr>
          <w:rFonts w:ascii="Arial" w:hAnsi="Arial" w:cs="Arial"/>
          <w:sz w:val="24"/>
          <w:szCs w:val="24"/>
          <w:highlight w:val="green"/>
        </w:rPr>
        <w:t>Výplata peněžních prostředků z uživatelského konta bude provedena bezúplatně na základě žádosti účastníka hazardní hry, a to na všech místech, kde jsou přijímány vklady peněžních prostředků na uživatelské konto. Výplata bude provedena bezodkladně, z omluvitelného důvodu nejpozději do 60 dnů ode dne, kdy žádost provozovatel obdržel.</w:t>
      </w:r>
    </w:p>
    <w:p w14:paraId="36C07EFC" w14:textId="77777777" w:rsidR="00643AEF" w:rsidRPr="00081694" w:rsidRDefault="00643AEF" w:rsidP="00643AEF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81694">
        <w:rPr>
          <w:rFonts w:ascii="Arial" w:hAnsi="Arial" w:cs="Arial"/>
          <w:b/>
          <w:sz w:val="24"/>
          <w:szCs w:val="24"/>
        </w:rPr>
        <w:t>Další informace</w:t>
      </w:r>
    </w:p>
    <w:p w14:paraId="2E828FB7" w14:textId="2FB731D9" w:rsidR="00061C87" w:rsidRPr="00061C87" w:rsidRDefault="00061C87" w:rsidP="00643AEF">
      <w:pPr>
        <w:jc w:val="both"/>
        <w:rPr>
          <w:rFonts w:ascii="Arial" w:hAnsi="Arial" w:cs="Arial"/>
          <w:sz w:val="24"/>
          <w:szCs w:val="24"/>
        </w:rPr>
      </w:pPr>
      <w:r w:rsidRPr="00061C87">
        <w:rPr>
          <w:rFonts w:ascii="Arial" w:hAnsi="Arial" w:cs="Arial"/>
          <w:sz w:val="24"/>
          <w:szCs w:val="24"/>
        </w:rPr>
        <w:t xml:space="preserve">Herní měnou je </w:t>
      </w:r>
      <w:r w:rsidRPr="00061C87">
        <w:rPr>
          <w:rFonts w:ascii="Arial" w:hAnsi="Arial" w:cs="Arial"/>
          <w:sz w:val="24"/>
          <w:szCs w:val="24"/>
          <w:highlight w:val="cyan"/>
        </w:rPr>
        <w:t>provozovatel uvede veškeré herní měny, ve kterých bude provozovat živou hru.</w:t>
      </w:r>
    </w:p>
    <w:p w14:paraId="24F71A81" w14:textId="258D0842" w:rsidR="00643AEF" w:rsidRDefault="00643AEF" w:rsidP="00643AEF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>V této části může žadatel uvést další obecné informace, které se dotýkají daného druhu hazardní hry a jejího provozování, a které je nutné uvádět v herním plánu. Neuvádí se informace či pravidla, která vyp</w:t>
      </w:r>
      <w:r w:rsidR="007E0F51">
        <w:rPr>
          <w:rFonts w:ascii="Arial" w:hAnsi="Arial" w:cs="Arial"/>
          <w:sz w:val="24"/>
          <w:szCs w:val="24"/>
          <w:highlight w:val="cyan"/>
        </w:rPr>
        <w:t>lý</w:t>
      </w:r>
      <w:r w:rsidRPr="00130E5B">
        <w:rPr>
          <w:rFonts w:ascii="Arial" w:hAnsi="Arial" w:cs="Arial"/>
          <w:sz w:val="24"/>
          <w:szCs w:val="24"/>
          <w:highlight w:val="cyan"/>
        </w:rPr>
        <w:t>v</w:t>
      </w:r>
      <w:r>
        <w:rPr>
          <w:rFonts w:ascii="Arial" w:hAnsi="Arial" w:cs="Arial"/>
          <w:sz w:val="24"/>
          <w:szCs w:val="24"/>
          <w:highlight w:val="cyan"/>
        </w:rPr>
        <w:t>ají přímo ze zákona</w:t>
      </w:r>
    </w:p>
    <w:p w14:paraId="4D77866E" w14:textId="77777777" w:rsidR="00643AEF" w:rsidRDefault="00643AEF" w:rsidP="00643AEF">
      <w:pPr>
        <w:jc w:val="both"/>
        <w:rPr>
          <w:rFonts w:ascii="Arial" w:hAnsi="Arial" w:cs="Arial"/>
          <w:b/>
          <w:sz w:val="24"/>
          <w:szCs w:val="24"/>
        </w:rPr>
      </w:pPr>
    </w:p>
    <w:p w14:paraId="364F81AC" w14:textId="071C48F0" w:rsidR="009F1387" w:rsidRPr="00FD6D46" w:rsidRDefault="009F1387" w:rsidP="009F1387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eastAsia="Calibri" w:hAnsi="Arial" w:cs="Arial"/>
          <w:bCs/>
          <w:color w:val="000000"/>
          <w:sz w:val="24"/>
          <w:szCs w:val="24"/>
        </w:rPr>
      </w:pPr>
    </w:p>
    <w:sectPr w:rsidR="009F1387" w:rsidRPr="00FD6D46" w:rsidSect="00A604F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55F72" w14:textId="77777777" w:rsidR="00515191" w:rsidRDefault="00515191" w:rsidP="00967CE7">
      <w:pPr>
        <w:spacing w:after="0" w:line="240" w:lineRule="auto"/>
      </w:pPr>
      <w:r>
        <w:separator/>
      </w:r>
    </w:p>
  </w:endnote>
  <w:endnote w:type="continuationSeparator" w:id="0">
    <w:p w14:paraId="56662E0D" w14:textId="77777777" w:rsidR="00515191" w:rsidRDefault="00515191" w:rsidP="0096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CB1B1" w14:textId="77777777" w:rsidR="00515191" w:rsidRDefault="00515191" w:rsidP="00967CE7">
      <w:pPr>
        <w:spacing w:after="0" w:line="240" w:lineRule="auto"/>
      </w:pPr>
      <w:r>
        <w:separator/>
      </w:r>
    </w:p>
  </w:footnote>
  <w:footnote w:type="continuationSeparator" w:id="0">
    <w:p w14:paraId="0AD35129" w14:textId="77777777" w:rsidR="00515191" w:rsidRDefault="00515191" w:rsidP="00967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0B"/>
    <w:multiLevelType w:val="multilevel"/>
    <w:tmpl w:val="73924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D60EA9"/>
    <w:multiLevelType w:val="hybridMultilevel"/>
    <w:tmpl w:val="09D212B8"/>
    <w:lvl w:ilvl="0" w:tplc="9EDA81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4213"/>
    <w:multiLevelType w:val="hybridMultilevel"/>
    <w:tmpl w:val="DB4C8940"/>
    <w:lvl w:ilvl="0" w:tplc="FEE0A0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90517"/>
    <w:multiLevelType w:val="hybridMultilevel"/>
    <w:tmpl w:val="F594F5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C2E75"/>
    <w:multiLevelType w:val="hybridMultilevel"/>
    <w:tmpl w:val="A288D77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C1821"/>
    <w:multiLevelType w:val="hybridMultilevel"/>
    <w:tmpl w:val="0CB853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65F82"/>
    <w:multiLevelType w:val="hybridMultilevel"/>
    <w:tmpl w:val="A192FC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30D71"/>
    <w:multiLevelType w:val="hybridMultilevel"/>
    <w:tmpl w:val="B93EFE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15BCC"/>
    <w:multiLevelType w:val="hybridMultilevel"/>
    <w:tmpl w:val="FD66D81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E2A16"/>
    <w:multiLevelType w:val="hybridMultilevel"/>
    <w:tmpl w:val="55BA3AF8"/>
    <w:lvl w:ilvl="0" w:tplc="B22E0118">
      <w:start w:val="3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318299">
    <w:abstractNumId w:val="2"/>
  </w:num>
  <w:num w:numId="2" w16cid:durableId="793985095">
    <w:abstractNumId w:val="0"/>
  </w:num>
  <w:num w:numId="3" w16cid:durableId="2109154133">
    <w:abstractNumId w:val="7"/>
  </w:num>
  <w:num w:numId="4" w16cid:durableId="121460687">
    <w:abstractNumId w:val="1"/>
  </w:num>
  <w:num w:numId="5" w16cid:durableId="122383949">
    <w:abstractNumId w:val="5"/>
  </w:num>
  <w:num w:numId="6" w16cid:durableId="416177501">
    <w:abstractNumId w:val="3"/>
  </w:num>
  <w:num w:numId="7" w16cid:durableId="1887646846">
    <w:abstractNumId w:val="9"/>
  </w:num>
  <w:num w:numId="8" w16cid:durableId="1036930156">
    <w:abstractNumId w:val="4"/>
  </w:num>
  <w:num w:numId="9" w16cid:durableId="656301904">
    <w:abstractNumId w:val="6"/>
  </w:num>
  <w:num w:numId="10" w16cid:durableId="20840620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E2D"/>
    <w:rsid w:val="00030E9C"/>
    <w:rsid w:val="00033F4C"/>
    <w:rsid w:val="00037C98"/>
    <w:rsid w:val="000424B0"/>
    <w:rsid w:val="00055794"/>
    <w:rsid w:val="00061C87"/>
    <w:rsid w:val="00062594"/>
    <w:rsid w:val="00064545"/>
    <w:rsid w:val="000661A4"/>
    <w:rsid w:val="0006683B"/>
    <w:rsid w:val="00081694"/>
    <w:rsid w:val="0009548A"/>
    <w:rsid w:val="00096BEB"/>
    <w:rsid w:val="000A2A07"/>
    <w:rsid w:val="000A4284"/>
    <w:rsid w:val="000E462C"/>
    <w:rsid w:val="000F5BF0"/>
    <w:rsid w:val="001075F2"/>
    <w:rsid w:val="00107CFD"/>
    <w:rsid w:val="00115FAE"/>
    <w:rsid w:val="001226A6"/>
    <w:rsid w:val="0013334B"/>
    <w:rsid w:val="0014173D"/>
    <w:rsid w:val="001442FF"/>
    <w:rsid w:val="00144ED9"/>
    <w:rsid w:val="00147F19"/>
    <w:rsid w:val="001534AA"/>
    <w:rsid w:val="0016243B"/>
    <w:rsid w:val="00163E2E"/>
    <w:rsid w:val="001709C6"/>
    <w:rsid w:val="00176538"/>
    <w:rsid w:val="00180F7B"/>
    <w:rsid w:val="00182DF1"/>
    <w:rsid w:val="00185904"/>
    <w:rsid w:val="00186979"/>
    <w:rsid w:val="00191A38"/>
    <w:rsid w:val="00196392"/>
    <w:rsid w:val="001A1888"/>
    <w:rsid w:val="001A2E1B"/>
    <w:rsid w:val="001A4C0E"/>
    <w:rsid w:val="001B266E"/>
    <w:rsid w:val="001B2A06"/>
    <w:rsid w:val="001B370E"/>
    <w:rsid w:val="001B655E"/>
    <w:rsid w:val="001B677C"/>
    <w:rsid w:val="001C0559"/>
    <w:rsid w:val="001C6366"/>
    <w:rsid w:val="001D47D3"/>
    <w:rsid w:val="001D7583"/>
    <w:rsid w:val="001E1A4D"/>
    <w:rsid w:val="001F6746"/>
    <w:rsid w:val="001F7C41"/>
    <w:rsid w:val="00212B57"/>
    <w:rsid w:val="00224AD7"/>
    <w:rsid w:val="00234453"/>
    <w:rsid w:val="00265BA0"/>
    <w:rsid w:val="002856CC"/>
    <w:rsid w:val="00287F61"/>
    <w:rsid w:val="00293441"/>
    <w:rsid w:val="00297E2D"/>
    <w:rsid w:val="002A5435"/>
    <w:rsid w:val="002B2A21"/>
    <w:rsid w:val="002D3C87"/>
    <w:rsid w:val="002D7D5C"/>
    <w:rsid w:val="002E7681"/>
    <w:rsid w:val="002F0FDB"/>
    <w:rsid w:val="002F7D60"/>
    <w:rsid w:val="00311633"/>
    <w:rsid w:val="00320726"/>
    <w:rsid w:val="00325A02"/>
    <w:rsid w:val="00330971"/>
    <w:rsid w:val="00334EF2"/>
    <w:rsid w:val="003466CD"/>
    <w:rsid w:val="0035014F"/>
    <w:rsid w:val="00350BE9"/>
    <w:rsid w:val="003522CC"/>
    <w:rsid w:val="003534C3"/>
    <w:rsid w:val="00360326"/>
    <w:rsid w:val="00385C64"/>
    <w:rsid w:val="0039754C"/>
    <w:rsid w:val="003B099D"/>
    <w:rsid w:val="003B258B"/>
    <w:rsid w:val="003B7C1F"/>
    <w:rsid w:val="003E0D42"/>
    <w:rsid w:val="003E263E"/>
    <w:rsid w:val="004010AE"/>
    <w:rsid w:val="004115B5"/>
    <w:rsid w:val="00414534"/>
    <w:rsid w:val="00430E3D"/>
    <w:rsid w:val="00435CBF"/>
    <w:rsid w:val="00446DAC"/>
    <w:rsid w:val="00454D0A"/>
    <w:rsid w:val="0045501B"/>
    <w:rsid w:val="00462CFF"/>
    <w:rsid w:val="00470094"/>
    <w:rsid w:val="004748F9"/>
    <w:rsid w:val="00480318"/>
    <w:rsid w:val="00495955"/>
    <w:rsid w:val="00496289"/>
    <w:rsid w:val="004967A1"/>
    <w:rsid w:val="00497953"/>
    <w:rsid w:val="004A6F09"/>
    <w:rsid w:val="004D3EED"/>
    <w:rsid w:val="004F3861"/>
    <w:rsid w:val="005009E4"/>
    <w:rsid w:val="00512E17"/>
    <w:rsid w:val="00515191"/>
    <w:rsid w:val="00516701"/>
    <w:rsid w:val="0051685F"/>
    <w:rsid w:val="00520B20"/>
    <w:rsid w:val="005257A2"/>
    <w:rsid w:val="00525B9E"/>
    <w:rsid w:val="00534117"/>
    <w:rsid w:val="00542375"/>
    <w:rsid w:val="005429FF"/>
    <w:rsid w:val="00543CE3"/>
    <w:rsid w:val="005463FB"/>
    <w:rsid w:val="00551726"/>
    <w:rsid w:val="00553F16"/>
    <w:rsid w:val="00567270"/>
    <w:rsid w:val="00572DF2"/>
    <w:rsid w:val="00593F01"/>
    <w:rsid w:val="005B2C2C"/>
    <w:rsid w:val="005B2DC9"/>
    <w:rsid w:val="005E0388"/>
    <w:rsid w:val="005E37E9"/>
    <w:rsid w:val="005F6CEE"/>
    <w:rsid w:val="005F787E"/>
    <w:rsid w:val="0060220B"/>
    <w:rsid w:val="00611A13"/>
    <w:rsid w:val="00631BEE"/>
    <w:rsid w:val="006364A4"/>
    <w:rsid w:val="006430CB"/>
    <w:rsid w:val="00643AEF"/>
    <w:rsid w:val="006463B9"/>
    <w:rsid w:val="00655422"/>
    <w:rsid w:val="00660B9A"/>
    <w:rsid w:val="00660C0C"/>
    <w:rsid w:val="00664531"/>
    <w:rsid w:val="00682024"/>
    <w:rsid w:val="00685EA2"/>
    <w:rsid w:val="006863F9"/>
    <w:rsid w:val="0069609E"/>
    <w:rsid w:val="006B41E3"/>
    <w:rsid w:val="006B77BA"/>
    <w:rsid w:val="006D10A9"/>
    <w:rsid w:val="006E3E0C"/>
    <w:rsid w:val="006E5768"/>
    <w:rsid w:val="006E5BCC"/>
    <w:rsid w:val="006F3C51"/>
    <w:rsid w:val="006F7D87"/>
    <w:rsid w:val="00705517"/>
    <w:rsid w:val="007061C9"/>
    <w:rsid w:val="0072363C"/>
    <w:rsid w:val="0073526A"/>
    <w:rsid w:val="00740AC3"/>
    <w:rsid w:val="0074740C"/>
    <w:rsid w:val="00761309"/>
    <w:rsid w:val="007666B8"/>
    <w:rsid w:val="00771984"/>
    <w:rsid w:val="00774297"/>
    <w:rsid w:val="007817DC"/>
    <w:rsid w:val="007917DA"/>
    <w:rsid w:val="007A18D8"/>
    <w:rsid w:val="007A2E2F"/>
    <w:rsid w:val="007A3DF7"/>
    <w:rsid w:val="007A64E7"/>
    <w:rsid w:val="007B23B1"/>
    <w:rsid w:val="007D0920"/>
    <w:rsid w:val="007E0F51"/>
    <w:rsid w:val="00816F12"/>
    <w:rsid w:val="008347CD"/>
    <w:rsid w:val="008364D7"/>
    <w:rsid w:val="00844A32"/>
    <w:rsid w:val="008472E8"/>
    <w:rsid w:val="00850E1E"/>
    <w:rsid w:val="00853453"/>
    <w:rsid w:val="00857D4E"/>
    <w:rsid w:val="00874720"/>
    <w:rsid w:val="00880CD7"/>
    <w:rsid w:val="008832B7"/>
    <w:rsid w:val="00887B78"/>
    <w:rsid w:val="00893E86"/>
    <w:rsid w:val="00896D72"/>
    <w:rsid w:val="008C3AD2"/>
    <w:rsid w:val="008D19B3"/>
    <w:rsid w:val="008D45EB"/>
    <w:rsid w:val="008E6C48"/>
    <w:rsid w:val="008E740B"/>
    <w:rsid w:val="008E76C1"/>
    <w:rsid w:val="008F1992"/>
    <w:rsid w:val="008F5927"/>
    <w:rsid w:val="009241B2"/>
    <w:rsid w:val="00926050"/>
    <w:rsid w:val="00927E45"/>
    <w:rsid w:val="00930411"/>
    <w:rsid w:val="009376DB"/>
    <w:rsid w:val="00937E8C"/>
    <w:rsid w:val="00960CF1"/>
    <w:rsid w:val="00967CE7"/>
    <w:rsid w:val="0097719F"/>
    <w:rsid w:val="00977FEC"/>
    <w:rsid w:val="009843DE"/>
    <w:rsid w:val="00993543"/>
    <w:rsid w:val="00997056"/>
    <w:rsid w:val="009A1C49"/>
    <w:rsid w:val="009A62C7"/>
    <w:rsid w:val="009A73C7"/>
    <w:rsid w:val="009B68D5"/>
    <w:rsid w:val="009E162C"/>
    <w:rsid w:val="009E4581"/>
    <w:rsid w:val="009F1387"/>
    <w:rsid w:val="009F376F"/>
    <w:rsid w:val="00A0202D"/>
    <w:rsid w:val="00A04278"/>
    <w:rsid w:val="00A069F4"/>
    <w:rsid w:val="00A0754B"/>
    <w:rsid w:val="00A1675A"/>
    <w:rsid w:val="00A20349"/>
    <w:rsid w:val="00A27795"/>
    <w:rsid w:val="00A50766"/>
    <w:rsid w:val="00A5481E"/>
    <w:rsid w:val="00A604FC"/>
    <w:rsid w:val="00A708D3"/>
    <w:rsid w:val="00A77D29"/>
    <w:rsid w:val="00A8625C"/>
    <w:rsid w:val="00AA4B02"/>
    <w:rsid w:val="00AC1D7D"/>
    <w:rsid w:val="00AC3E98"/>
    <w:rsid w:val="00AD76E7"/>
    <w:rsid w:val="00AE0106"/>
    <w:rsid w:val="00AE7DF8"/>
    <w:rsid w:val="00AF0D20"/>
    <w:rsid w:val="00AF12B4"/>
    <w:rsid w:val="00AF6BC0"/>
    <w:rsid w:val="00B06591"/>
    <w:rsid w:val="00B15C6D"/>
    <w:rsid w:val="00B17576"/>
    <w:rsid w:val="00B244B9"/>
    <w:rsid w:val="00B3189D"/>
    <w:rsid w:val="00B332F5"/>
    <w:rsid w:val="00B3515D"/>
    <w:rsid w:val="00B61852"/>
    <w:rsid w:val="00B656E3"/>
    <w:rsid w:val="00B73D75"/>
    <w:rsid w:val="00B743DB"/>
    <w:rsid w:val="00B824B2"/>
    <w:rsid w:val="00B82E82"/>
    <w:rsid w:val="00B83936"/>
    <w:rsid w:val="00B90238"/>
    <w:rsid w:val="00BA57CE"/>
    <w:rsid w:val="00BA6D5B"/>
    <w:rsid w:val="00BB1B31"/>
    <w:rsid w:val="00BB64D1"/>
    <w:rsid w:val="00BD0FA9"/>
    <w:rsid w:val="00BE093D"/>
    <w:rsid w:val="00BE24D5"/>
    <w:rsid w:val="00BE664B"/>
    <w:rsid w:val="00BF047E"/>
    <w:rsid w:val="00BF3E9A"/>
    <w:rsid w:val="00C165EA"/>
    <w:rsid w:val="00C4247C"/>
    <w:rsid w:val="00C434F9"/>
    <w:rsid w:val="00C51FCC"/>
    <w:rsid w:val="00C75E75"/>
    <w:rsid w:val="00C76FA9"/>
    <w:rsid w:val="00C80C23"/>
    <w:rsid w:val="00C82476"/>
    <w:rsid w:val="00C87045"/>
    <w:rsid w:val="00CB1260"/>
    <w:rsid w:val="00CB41C5"/>
    <w:rsid w:val="00CB6C84"/>
    <w:rsid w:val="00CB7F00"/>
    <w:rsid w:val="00CC0546"/>
    <w:rsid w:val="00CC56D8"/>
    <w:rsid w:val="00CE5FD1"/>
    <w:rsid w:val="00CF2AAF"/>
    <w:rsid w:val="00D02526"/>
    <w:rsid w:val="00D13EBA"/>
    <w:rsid w:val="00D34783"/>
    <w:rsid w:val="00D83031"/>
    <w:rsid w:val="00D904FA"/>
    <w:rsid w:val="00D91D5C"/>
    <w:rsid w:val="00D9288C"/>
    <w:rsid w:val="00DB58B2"/>
    <w:rsid w:val="00DB5B77"/>
    <w:rsid w:val="00DB5F2E"/>
    <w:rsid w:val="00DC406C"/>
    <w:rsid w:val="00DC49BD"/>
    <w:rsid w:val="00DC5127"/>
    <w:rsid w:val="00DC5249"/>
    <w:rsid w:val="00DC6DA7"/>
    <w:rsid w:val="00DC70B9"/>
    <w:rsid w:val="00DC75C2"/>
    <w:rsid w:val="00DD285F"/>
    <w:rsid w:val="00DE0226"/>
    <w:rsid w:val="00DE237A"/>
    <w:rsid w:val="00DE2934"/>
    <w:rsid w:val="00DF0764"/>
    <w:rsid w:val="00E11597"/>
    <w:rsid w:val="00E21ACA"/>
    <w:rsid w:val="00E24FAB"/>
    <w:rsid w:val="00E323CA"/>
    <w:rsid w:val="00E4462C"/>
    <w:rsid w:val="00E51691"/>
    <w:rsid w:val="00E5207B"/>
    <w:rsid w:val="00E6646C"/>
    <w:rsid w:val="00E829A8"/>
    <w:rsid w:val="00E85EAC"/>
    <w:rsid w:val="00E91759"/>
    <w:rsid w:val="00E944B7"/>
    <w:rsid w:val="00E94BAA"/>
    <w:rsid w:val="00E97A3B"/>
    <w:rsid w:val="00EA49FC"/>
    <w:rsid w:val="00EA6166"/>
    <w:rsid w:val="00EC65AA"/>
    <w:rsid w:val="00ED28E8"/>
    <w:rsid w:val="00EF482A"/>
    <w:rsid w:val="00EF7AEA"/>
    <w:rsid w:val="00F15080"/>
    <w:rsid w:val="00F1518D"/>
    <w:rsid w:val="00F15407"/>
    <w:rsid w:val="00F3015C"/>
    <w:rsid w:val="00F314FE"/>
    <w:rsid w:val="00F439F5"/>
    <w:rsid w:val="00F52302"/>
    <w:rsid w:val="00F56FF3"/>
    <w:rsid w:val="00F60D55"/>
    <w:rsid w:val="00F63695"/>
    <w:rsid w:val="00F92C76"/>
    <w:rsid w:val="00F975D9"/>
    <w:rsid w:val="00FB41EF"/>
    <w:rsid w:val="00FC7512"/>
    <w:rsid w:val="00FC7EC2"/>
    <w:rsid w:val="00FD138E"/>
    <w:rsid w:val="00FD28AD"/>
    <w:rsid w:val="00FE6374"/>
    <w:rsid w:val="00FE70A5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3C441"/>
  <w15:chartTrackingRefBased/>
  <w15:docId w15:val="{C1BAF938-94F4-41FE-87C4-B352C4032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5C6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237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37E8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E24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E24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E24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24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24D5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06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intenzivn">
    <w:name w:val="Intense Reference"/>
    <w:basedOn w:val="Standardnpsmoodstavce"/>
    <w:uiPriority w:val="32"/>
    <w:qFormat/>
    <w:rsid w:val="00F60D55"/>
    <w:rPr>
      <w:b/>
      <w:bCs/>
      <w:smallCaps/>
      <w:color w:val="5B9BD5" w:themeColor="accent1"/>
      <w:spacing w:val="5"/>
    </w:rPr>
  </w:style>
  <w:style w:type="character" w:customStyle="1" w:styleId="normaltextrun">
    <w:name w:val="normaltextrun"/>
    <w:basedOn w:val="Standardnpsmoodstavce"/>
    <w:rsid w:val="003534C3"/>
  </w:style>
  <w:style w:type="paragraph" w:styleId="Zkladntext">
    <w:name w:val="Body Text"/>
    <w:basedOn w:val="Normln"/>
    <w:link w:val="ZkladntextChar"/>
    <w:uiPriority w:val="1"/>
    <w:qFormat/>
    <w:rsid w:val="00B6185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B61852"/>
    <w:rPr>
      <w:rFonts w:ascii="Arial MT" w:eastAsia="Arial MT" w:hAnsi="Arial MT" w:cs="Arial M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7CE7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7CE7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967CE7"/>
    <w:rPr>
      <w:vertAlign w:val="superscript"/>
    </w:rPr>
  </w:style>
  <w:style w:type="paragraph" w:customStyle="1" w:styleId="Odstavecseseznamem1">
    <w:name w:val="Odstavec se seznamem1"/>
    <w:basedOn w:val="Normln"/>
    <w:qFormat/>
    <w:rsid w:val="00F975D9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643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3AEF"/>
  </w:style>
  <w:style w:type="paragraph" w:styleId="Zhlav">
    <w:name w:val="header"/>
    <w:basedOn w:val="Normln"/>
    <w:link w:val="ZhlavChar"/>
    <w:uiPriority w:val="99"/>
    <w:unhideWhenUsed/>
    <w:rsid w:val="00643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3AEF"/>
  </w:style>
  <w:style w:type="paragraph" w:styleId="Revize">
    <w:name w:val="Revision"/>
    <w:hidden/>
    <w:uiPriority w:val="99"/>
    <w:semiHidden/>
    <w:rsid w:val="007E0F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DDADD-CA28-4EDF-A615-8B420678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1015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Mašková Barbora</dc:creator>
  <cp:keywords/>
  <dc:description/>
  <cp:lastModifiedBy>Mašková Barbora</cp:lastModifiedBy>
  <cp:revision>7</cp:revision>
  <cp:lastPrinted>2023-07-11T14:36:00Z</cp:lastPrinted>
  <dcterms:created xsi:type="dcterms:W3CDTF">2024-08-08T11:08:00Z</dcterms:created>
  <dcterms:modified xsi:type="dcterms:W3CDTF">2025-10-21T12:58:00Z</dcterms:modified>
</cp:coreProperties>
</file>