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0F064" w14:textId="77777777" w:rsidR="00A05C9C" w:rsidRPr="00202509" w:rsidRDefault="00A05C9C" w:rsidP="00A05C9C">
      <w:pPr>
        <w:spacing w:after="0"/>
        <w:jc w:val="both"/>
        <w:rPr>
          <w:i/>
          <w:highlight w:val="cyan"/>
        </w:rPr>
      </w:pPr>
      <w:r w:rsidRPr="00202509">
        <w:rPr>
          <w:i/>
          <w:highlight w:val="cyan"/>
        </w:rPr>
        <w:t>Vysvětlivky ke vzoru (odmažte)</w:t>
      </w:r>
    </w:p>
    <w:p w14:paraId="5DD3092A" w14:textId="77777777" w:rsidR="00A05C9C" w:rsidRPr="00202509" w:rsidRDefault="00A05C9C" w:rsidP="00A05C9C">
      <w:pPr>
        <w:spacing w:after="0"/>
        <w:jc w:val="both"/>
        <w:rPr>
          <w:i/>
          <w:highlight w:val="cyan"/>
        </w:rPr>
      </w:pPr>
      <w:r w:rsidRPr="00202509">
        <w:rPr>
          <w:i/>
          <w:highlight w:val="cyan"/>
        </w:rPr>
        <w:t xml:space="preserve">Modře </w:t>
      </w:r>
      <w:r w:rsidRPr="00202509">
        <w:rPr>
          <w:i/>
        </w:rPr>
        <w:t xml:space="preserve">– vždy vymažte, vysvětlení a pokyny pro </w:t>
      </w:r>
      <w:r>
        <w:rPr>
          <w:i/>
        </w:rPr>
        <w:t>žadatele</w:t>
      </w:r>
    </w:p>
    <w:p w14:paraId="04136C20" w14:textId="77777777" w:rsidR="00A05C9C" w:rsidRPr="00202509" w:rsidRDefault="00A05C9C" w:rsidP="00A05C9C">
      <w:pPr>
        <w:spacing w:after="0"/>
        <w:jc w:val="both"/>
        <w:rPr>
          <w:i/>
        </w:rPr>
      </w:pPr>
      <w:r w:rsidRPr="00202509">
        <w:rPr>
          <w:i/>
          <w:highlight w:val="yellow"/>
        </w:rPr>
        <w:t xml:space="preserve">Žlutě </w:t>
      </w:r>
      <w:r w:rsidRPr="00202509">
        <w:rPr>
          <w:i/>
        </w:rPr>
        <w:t xml:space="preserve">– </w:t>
      </w:r>
      <w:r>
        <w:rPr>
          <w:i/>
        </w:rPr>
        <w:t>žadatel doplní konkrétní informace</w:t>
      </w:r>
    </w:p>
    <w:p w14:paraId="7827AF42" w14:textId="77777777" w:rsidR="00A05C9C" w:rsidRPr="00202509" w:rsidRDefault="00A05C9C" w:rsidP="00A05C9C">
      <w:pPr>
        <w:spacing w:after="0"/>
        <w:jc w:val="both"/>
        <w:rPr>
          <w:i/>
        </w:rPr>
      </w:pPr>
      <w:r w:rsidRPr="00202509">
        <w:rPr>
          <w:i/>
          <w:highlight w:val="green"/>
        </w:rPr>
        <w:t>Zeleně</w:t>
      </w:r>
      <w:r w:rsidRPr="00202509">
        <w:rPr>
          <w:i/>
        </w:rPr>
        <w:t xml:space="preserve"> – variantní výběr, vyberte jednu </w:t>
      </w:r>
      <w:r>
        <w:rPr>
          <w:i/>
        </w:rPr>
        <w:t>nebo více</w:t>
      </w:r>
      <w:r w:rsidRPr="00202509">
        <w:rPr>
          <w:i/>
        </w:rPr>
        <w:t> variant, zbylé vymažte</w:t>
      </w:r>
    </w:p>
    <w:p w14:paraId="257B7A8D" w14:textId="77777777" w:rsidR="00A05C9C" w:rsidRPr="00B11F54" w:rsidRDefault="00A05C9C" w:rsidP="00A05C9C">
      <w:pPr>
        <w:spacing w:after="240"/>
        <w:jc w:val="both"/>
        <w:rPr>
          <w:i/>
        </w:rPr>
      </w:pPr>
      <w:r w:rsidRPr="00202509">
        <w:rPr>
          <w:i/>
        </w:rPr>
        <w:t xml:space="preserve">Celému </w:t>
      </w:r>
      <w:r>
        <w:rPr>
          <w:i/>
        </w:rPr>
        <w:t>hernímu plánu</w:t>
      </w:r>
      <w:r w:rsidRPr="00202509">
        <w:rPr>
          <w:i/>
        </w:rPr>
        <w:t xml:space="preserve"> je však nutné věnovat pozornost, aby text odpovídal </w:t>
      </w:r>
      <w:r>
        <w:rPr>
          <w:i/>
        </w:rPr>
        <w:t>reálnému stavu, v jakém bude žadatel provozovat</w:t>
      </w:r>
    </w:p>
    <w:p w14:paraId="5E278908" w14:textId="77777777" w:rsidR="00A05C9C" w:rsidRDefault="00A05C9C" w:rsidP="00180F7B">
      <w:pPr>
        <w:jc w:val="center"/>
        <w:rPr>
          <w:rFonts w:ascii="Arial" w:hAnsi="Arial" w:cs="Arial"/>
          <w:b/>
          <w:sz w:val="24"/>
          <w:szCs w:val="24"/>
        </w:rPr>
      </w:pPr>
    </w:p>
    <w:p w14:paraId="2E53775D" w14:textId="45B57A74" w:rsidR="004D3EED" w:rsidRPr="00180F7B" w:rsidRDefault="00334EF2" w:rsidP="00180F7B">
      <w:pPr>
        <w:jc w:val="center"/>
        <w:rPr>
          <w:rFonts w:ascii="Arial" w:hAnsi="Arial" w:cs="Arial"/>
          <w:b/>
          <w:sz w:val="24"/>
          <w:szCs w:val="24"/>
        </w:rPr>
      </w:pPr>
      <w:r w:rsidRPr="00180F7B">
        <w:rPr>
          <w:rFonts w:ascii="Arial" w:hAnsi="Arial" w:cs="Arial"/>
          <w:b/>
          <w:sz w:val="24"/>
          <w:szCs w:val="24"/>
        </w:rPr>
        <w:t>HERNÍ PLÁN</w:t>
      </w:r>
    </w:p>
    <w:p w14:paraId="5316E4C7" w14:textId="77777777" w:rsidR="00334EF2" w:rsidRPr="00180F7B" w:rsidRDefault="00334EF2" w:rsidP="00180F7B">
      <w:pPr>
        <w:jc w:val="center"/>
        <w:rPr>
          <w:rFonts w:ascii="Arial" w:hAnsi="Arial" w:cs="Arial"/>
          <w:b/>
          <w:sz w:val="24"/>
          <w:szCs w:val="24"/>
        </w:rPr>
      </w:pPr>
      <w:r w:rsidRPr="00180F7B">
        <w:rPr>
          <w:rFonts w:ascii="Arial" w:hAnsi="Arial" w:cs="Arial"/>
          <w:b/>
          <w:sz w:val="24"/>
          <w:szCs w:val="24"/>
        </w:rPr>
        <w:t>OBECNÁ ČÁST</w:t>
      </w:r>
    </w:p>
    <w:p w14:paraId="11CB82F8" w14:textId="1F93CB2E" w:rsidR="00937E8C" w:rsidRPr="003E733E" w:rsidRDefault="009843DE" w:rsidP="003E733E">
      <w:pPr>
        <w:pStyle w:val="Odstavecseseznamem"/>
        <w:numPr>
          <w:ilvl w:val="0"/>
          <w:numId w:val="1"/>
        </w:numPr>
        <w:spacing w:line="240" w:lineRule="auto"/>
        <w:rPr>
          <w:rFonts w:ascii="Arial" w:eastAsia="Times New Roman" w:hAnsi="Arial" w:cs="Arial"/>
          <w:b/>
          <w:color w:val="000000"/>
          <w:sz w:val="24"/>
          <w:szCs w:val="24"/>
          <w:lang w:eastAsia="cs-CZ"/>
        </w:rPr>
      </w:pPr>
      <w:r w:rsidRPr="00937E8C">
        <w:rPr>
          <w:rFonts w:ascii="Arial" w:eastAsia="Times New Roman" w:hAnsi="Arial" w:cs="Arial"/>
          <w:b/>
          <w:color w:val="000000"/>
          <w:sz w:val="24"/>
          <w:szCs w:val="24"/>
          <w:lang w:eastAsia="cs-CZ"/>
        </w:rPr>
        <w:t>Provozovatel</w:t>
      </w:r>
    </w:p>
    <w:p w14:paraId="1BF5E981" w14:textId="5E19F8DB" w:rsidR="009843DE" w:rsidRPr="00937E8C" w:rsidRDefault="009843DE" w:rsidP="003E733E">
      <w:pPr>
        <w:spacing w:line="240" w:lineRule="auto"/>
        <w:contextualSpacing/>
        <w:jc w:val="both"/>
        <w:rPr>
          <w:rFonts w:ascii="Arial" w:eastAsia="Times New Roman" w:hAnsi="Arial" w:cs="Arial"/>
          <w:color w:val="000000"/>
          <w:sz w:val="24"/>
          <w:szCs w:val="24"/>
          <w:lang w:eastAsia="cs-CZ"/>
        </w:rPr>
      </w:pPr>
      <w:r w:rsidRPr="00A05C9C">
        <w:rPr>
          <w:rFonts w:ascii="Arial" w:eastAsia="Times New Roman" w:hAnsi="Arial" w:cs="Arial"/>
          <w:color w:val="000000"/>
          <w:sz w:val="24"/>
          <w:szCs w:val="24"/>
          <w:highlight w:val="yellow"/>
          <w:lang w:eastAsia="cs-CZ"/>
        </w:rPr>
        <w:t>název obchodní společnosti,</w:t>
      </w:r>
      <w:r w:rsidRPr="00A05C9C">
        <w:rPr>
          <w:rFonts w:ascii="Arial" w:eastAsia="Times New Roman" w:hAnsi="Arial" w:cs="Arial"/>
          <w:b/>
          <w:bCs/>
          <w:color w:val="000000"/>
          <w:sz w:val="24"/>
          <w:szCs w:val="24"/>
          <w:highlight w:val="yellow"/>
          <w:lang w:eastAsia="cs-CZ"/>
        </w:rPr>
        <w:t xml:space="preserve"> </w:t>
      </w:r>
      <w:r w:rsidRPr="00A05C9C">
        <w:rPr>
          <w:rFonts w:ascii="Arial" w:eastAsia="Times New Roman" w:hAnsi="Arial" w:cs="Arial"/>
          <w:color w:val="000000"/>
          <w:sz w:val="24"/>
          <w:szCs w:val="24"/>
          <w:highlight w:val="yellow"/>
          <w:lang w:eastAsia="cs-CZ"/>
        </w:rPr>
        <w:t>IČO, nebo jiný obdobný údaj u zahraničních provozovatelů, adresa sídla</w:t>
      </w:r>
    </w:p>
    <w:p w14:paraId="0E817A3B" w14:textId="0AF4B226" w:rsidR="00937E8C" w:rsidRPr="003E733E" w:rsidRDefault="00937E8C" w:rsidP="003E733E">
      <w:pPr>
        <w:pStyle w:val="Odstavecseseznamem"/>
        <w:numPr>
          <w:ilvl w:val="0"/>
          <w:numId w:val="1"/>
        </w:numPr>
        <w:spacing w:line="240" w:lineRule="auto"/>
        <w:rPr>
          <w:rFonts w:ascii="Arial" w:eastAsia="Times New Roman" w:hAnsi="Arial" w:cs="Arial"/>
          <w:b/>
          <w:color w:val="000000"/>
          <w:sz w:val="24"/>
          <w:szCs w:val="24"/>
          <w:lang w:eastAsia="cs-CZ"/>
        </w:rPr>
      </w:pPr>
      <w:r w:rsidRPr="00937E8C">
        <w:rPr>
          <w:rFonts w:ascii="Arial" w:eastAsia="Times New Roman" w:hAnsi="Arial" w:cs="Arial"/>
          <w:b/>
          <w:color w:val="000000"/>
          <w:sz w:val="24"/>
          <w:szCs w:val="24"/>
          <w:lang w:eastAsia="cs-CZ"/>
        </w:rPr>
        <w:t>Druh hazardní hry</w:t>
      </w:r>
    </w:p>
    <w:p w14:paraId="24D22CF9" w14:textId="64925DC4" w:rsidR="00937E8C" w:rsidRPr="00937E8C" w:rsidRDefault="009D7C7F" w:rsidP="003E733E">
      <w:pPr>
        <w:spacing w:line="240" w:lineRule="auto"/>
        <w:contextualSpacing/>
        <w:jc w:val="both"/>
        <w:rPr>
          <w:rFonts w:ascii="Arial" w:eastAsia="Times New Roman" w:hAnsi="Arial" w:cs="Arial"/>
          <w:color w:val="000000"/>
          <w:sz w:val="24"/>
          <w:szCs w:val="24"/>
          <w:lang w:eastAsia="cs-CZ"/>
        </w:rPr>
      </w:pPr>
      <w:r>
        <w:rPr>
          <w:rFonts w:ascii="Arial" w:eastAsia="Times New Roman" w:hAnsi="Arial" w:cs="Arial"/>
          <w:color w:val="000000"/>
          <w:sz w:val="24"/>
          <w:szCs w:val="24"/>
          <w:lang w:eastAsia="cs-CZ"/>
        </w:rPr>
        <w:t>loterie (</w:t>
      </w:r>
      <w:r w:rsidRPr="00E312C1">
        <w:rPr>
          <w:rFonts w:ascii="Arial" w:eastAsia="Times New Roman" w:hAnsi="Arial" w:cs="Arial"/>
          <w:color w:val="000000"/>
          <w:sz w:val="24"/>
          <w:szCs w:val="24"/>
          <w:highlight w:val="cyan"/>
          <w:lang w:eastAsia="cs-CZ"/>
        </w:rPr>
        <w:t>lze konkretizovat druhem loterie:</w:t>
      </w:r>
      <w:r>
        <w:rPr>
          <w:rFonts w:ascii="Arial" w:eastAsia="Times New Roman" w:hAnsi="Arial" w:cs="Arial"/>
          <w:color w:val="000000"/>
          <w:sz w:val="24"/>
          <w:szCs w:val="24"/>
          <w:lang w:eastAsia="cs-CZ"/>
        </w:rPr>
        <w:t xml:space="preserve"> </w:t>
      </w:r>
      <w:r w:rsidRPr="00FA4BA8">
        <w:rPr>
          <w:rFonts w:ascii="Arial" w:eastAsia="Times New Roman" w:hAnsi="Arial" w:cs="Arial"/>
          <w:color w:val="000000"/>
          <w:sz w:val="24"/>
          <w:szCs w:val="24"/>
          <w:highlight w:val="green"/>
          <w:lang w:eastAsia="cs-CZ"/>
        </w:rPr>
        <w:t>číselná loterie / peněžitá loterie / věcná loterie / okamžitá loterie</w:t>
      </w:r>
      <w:r>
        <w:rPr>
          <w:rFonts w:ascii="Arial" w:eastAsia="Times New Roman" w:hAnsi="Arial" w:cs="Arial"/>
          <w:color w:val="000000"/>
          <w:sz w:val="24"/>
          <w:szCs w:val="24"/>
          <w:lang w:eastAsia="cs-CZ"/>
        </w:rPr>
        <w:t>)</w:t>
      </w:r>
    </w:p>
    <w:p w14:paraId="55394CDA" w14:textId="464A2AAA" w:rsidR="00937E8C" w:rsidRDefault="00937E8C" w:rsidP="003E733E">
      <w:pPr>
        <w:pStyle w:val="Odstavecseseznamem"/>
        <w:numPr>
          <w:ilvl w:val="0"/>
          <w:numId w:val="1"/>
        </w:numPr>
        <w:spacing w:line="240" w:lineRule="auto"/>
        <w:rPr>
          <w:rFonts w:ascii="Arial" w:eastAsia="Times New Roman" w:hAnsi="Arial" w:cs="Arial"/>
          <w:b/>
          <w:color w:val="000000"/>
          <w:sz w:val="24"/>
          <w:szCs w:val="24"/>
          <w:lang w:eastAsia="cs-CZ"/>
        </w:rPr>
      </w:pPr>
      <w:r w:rsidRPr="00937E8C">
        <w:rPr>
          <w:rFonts w:ascii="Arial" w:eastAsia="Times New Roman" w:hAnsi="Arial" w:cs="Arial"/>
          <w:b/>
          <w:color w:val="000000"/>
          <w:sz w:val="24"/>
          <w:szCs w:val="24"/>
          <w:lang w:eastAsia="cs-CZ"/>
        </w:rPr>
        <w:t>Způsob provozování</w:t>
      </w:r>
    </w:p>
    <w:p w14:paraId="3C1AD759" w14:textId="77777777" w:rsidR="00A05C9C" w:rsidRPr="00A05C9C" w:rsidRDefault="00A05C9C" w:rsidP="00A05C9C">
      <w:pPr>
        <w:spacing w:after="120" w:line="240" w:lineRule="auto"/>
        <w:rPr>
          <w:rFonts w:ascii="Arial" w:eastAsia="Times New Roman" w:hAnsi="Arial" w:cs="Arial"/>
          <w:color w:val="000000"/>
          <w:sz w:val="24"/>
          <w:szCs w:val="24"/>
          <w:lang w:eastAsia="cs-CZ"/>
        </w:rPr>
      </w:pPr>
      <w:r w:rsidRPr="00A05C9C">
        <w:rPr>
          <w:rFonts w:ascii="Arial" w:eastAsia="Times New Roman" w:hAnsi="Arial" w:cs="Arial"/>
          <w:color w:val="000000"/>
          <w:sz w:val="24"/>
          <w:szCs w:val="24"/>
          <w:lang w:eastAsia="cs-CZ"/>
        </w:rPr>
        <w:t xml:space="preserve">Internet </w:t>
      </w:r>
      <w:r w:rsidRPr="00A05C9C">
        <w:rPr>
          <w:rFonts w:ascii="Arial" w:eastAsia="Times New Roman" w:hAnsi="Arial" w:cs="Arial"/>
          <w:color w:val="000000"/>
          <w:sz w:val="24"/>
          <w:szCs w:val="24"/>
          <w:highlight w:val="green"/>
          <w:lang w:eastAsia="cs-CZ"/>
        </w:rPr>
        <w:t>prostřednictvím aplikace</w:t>
      </w:r>
      <w:r w:rsidRPr="00A05C9C">
        <w:rPr>
          <w:rFonts w:ascii="Arial" w:eastAsia="Times New Roman" w:hAnsi="Arial" w:cs="Arial"/>
          <w:color w:val="000000"/>
          <w:sz w:val="24"/>
          <w:szCs w:val="24"/>
          <w:lang w:eastAsia="cs-CZ"/>
        </w:rPr>
        <w:t xml:space="preserve"> </w:t>
      </w:r>
      <w:proofErr w:type="spellStart"/>
      <w:r w:rsidRPr="00A05C9C">
        <w:rPr>
          <w:rFonts w:ascii="Arial" w:eastAsia="Times New Roman" w:hAnsi="Arial" w:cs="Arial"/>
          <w:color w:val="000000"/>
          <w:sz w:val="24"/>
          <w:szCs w:val="24"/>
          <w:highlight w:val="yellow"/>
          <w:lang w:eastAsia="cs-CZ"/>
        </w:rPr>
        <w:t>abc</w:t>
      </w:r>
      <w:proofErr w:type="spellEnd"/>
      <w:r w:rsidRPr="00A05C9C">
        <w:rPr>
          <w:rFonts w:ascii="Arial" w:eastAsia="Times New Roman" w:hAnsi="Arial" w:cs="Arial"/>
          <w:color w:val="000000"/>
          <w:sz w:val="24"/>
          <w:szCs w:val="24"/>
          <w:lang w:eastAsia="cs-CZ"/>
        </w:rPr>
        <w:t xml:space="preserve"> </w:t>
      </w:r>
      <w:r w:rsidRPr="00A05C9C">
        <w:rPr>
          <w:rFonts w:ascii="Arial" w:eastAsia="Times New Roman" w:hAnsi="Arial" w:cs="Arial"/>
          <w:color w:val="000000"/>
          <w:sz w:val="24"/>
          <w:szCs w:val="24"/>
          <w:highlight w:val="green"/>
          <w:lang w:eastAsia="cs-CZ"/>
        </w:rPr>
        <w:t>a internetových stránek</w:t>
      </w:r>
      <w:r w:rsidRPr="00A05C9C">
        <w:rPr>
          <w:rFonts w:ascii="Arial" w:eastAsia="Times New Roman" w:hAnsi="Arial" w:cs="Arial"/>
          <w:color w:val="000000"/>
          <w:sz w:val="24"/>
          <w:szCs w:val="24"/>
          <w:lang w:eastAsia="cs-CZ"/>
        </w:rPr>
        <w:t xml:space="preserve"> </w:t>
      </w:r>
      <w:r w:rsidRPr="00A05C9C">
        <w:rPr>
          <w:rFonts w:ascii="Arial" w:eastAsia="Times New Roman" w:hAnsi="Arial" w:cs="Arial"/>
          <w:color w:val="000000"/>
          <w:sz w:val="24"/>
          <w:szCs w:val="24"/>
          <w:highlight w:val="yellow"/>
          <w:lang w:eastAsia="cs-CZ"/>
        </w:rPr>
        <w:t>abc.cz</w:t>
      </w:r>
    </w:p>
    <w:p w14:paraId="383BE24A" w14:textId="5FA42CE8" w:rsidR="00937E8C" w:rsidRPr="003E733E" w:rsidRDefault="00937E8C" w:rsidP="00A05C9C">
      <w:pPr>
        <w:pStyle w:val="Odstavecseseznamem"/>
        <w:numPr>
          <w:ilvl w:val="0"/>
          <w:numId w:val="1"/>
        </w:numPr>
        <w:spacing w:line="240" w:lineRule="auto"/>
        <w:ind w:left="357" w:hanging="357"/>
        <w:contextualSpacing w:val="0"/>
        <w:rPr>
          <w:rFonts w:ascii="Arial" w:eastAsia="Times New Roman" w:hAnsi="Arial" w:cs="Arial"/>
          <w:b/>
          <w:color w:val="000000"/>
          <w:sz w:val="24"/>
          <w:szCs w:val="24"/>
          <w:lang w:eastAsia="cs-CZ"/>
        </w:rPr>
      </w:pPr>
      <w:r w:rsidRPr="00937E8C">
        <w:rPr>
          <w:rFonts w:ascii="Arial" w:eastAsia="Times New Roman" w:hAnsi="Arial" w:cs="Arial"/>
          <w:b/>
          <w:color w:val="000000"/>
          <w:sz w:val="24"/>
          <w:szCs w:val="24"/>
          <w:lang w:eastAsia="cs-CZ"/>
        </w:rPr>
        <w:t>Zákonné předpisy</w:t>
      </w:r>
    </w:p>
    <w:p w14:paraId="5101243D" w14:textId="77777777" w:rsidR="00A05C9C" w:rsidRPr="00A05C9C" w:rsidRDefault="00A05C9C" w:rsidP="00A05C9C">
      <w:pPr>
        <w:pStyle w:val="Odstavecseseznamem"/>
        <w:numPr>
          <w:ilvl w:val="0"/>
          <w:numId w:val="8"/>
        </w:numPr>
        <w:spacing w:after="120" w:line="240" w:lineRule="auto"/>
        <w:ind w:left="714" w:hanging="357"/>
        <w:contextualSpacing w:val="0"/>
        <w:jc w:val="both"/>
        <w:rPr>
          <w:rFonts w:ascii="Arial" w:hAnsi="Arial" w:cs="Arial"/>
          <w:sz w:val="24"/>
          <w:szCs w:val="24"/>
        </w:rPr>
      </w:pPr>
      <w:r w:rsidRPr="00A05C9C">
        <w:rPr>
          <w:rFonts w:ascii="Arial" w:hAnsi="Arial" w:cs="Arial"/>
          <w:sz w:val="24"/>
          <w:szCs w:val="24"/>
        </w:rPr>
        <w:t>Zákon č. 186/2016 Sb., o hazardních hrách, ve znění pozdějších předpisů (dále jen „ZHH“);</w:t>
      </w:r>
    </w:p>
    <w:p w14:paraId="319AA7B9" w14:textId="77777777" w:rsidR="00A05C9C" w:rsidRDefault="00A05C9C" w:rsidP="00A05C9C">
      <w:pPr>
        <w:pStyle w:val="Odstavecseseznamem"/>
        <w:numPr>
          <w:ilvl w:val="0"/>
          <w:numId w:val="8"/>
        </w:numPr>
        <w:spacing w:after="120" w:line="240" w:lineRule="auto"/>
        <w:ind w:left="714" w:hanging="357"/>
        <w:contextualSpacing w:val="0"/>
        <w:jc w:val="both"/>
        <w:rPr>
          <w:rFonts w:ascii="Arial" w:hAnsi="Arial" w:cs="Arial"/>
          <w:sz w:val="24"/>
          <w:szCs w:val="24"/>
        </w:rPr>
      </w:pPr>
      <w:r w:rsidRPr="00A05C9C">
        <w:rPr>
          <w:rFonts w:ascii="Arial" w:hAnsi="Arial" w:cs="Arial"/>
          <w:sz w:val="24"/>
          <w:szCs w:val="24"/>
        </w:rPr>
        <w:t>Vyhláška č. 466/2023 Sb., o podmínkách provozování hazardních her;</w:t>
      </w:r>
    </w:p>
    <w:p w14:paraId="31099A56" w14:textId="77777777" w:rsidR="00A05C9C" w:rsidRDefault="00A05C9C" w:rsidP="00A05C9C">
      <w:pPr>
        <w:pStyle w:val="Odstavecseseznamem"/>
        <w:numPr>
          <w:ilvl w:val="0"/>
          <w:numId w:val="8"/>
        </w:numPr>
        <w:spacing w:after="120" w:line="240" w:lineRule="auto"/>
        <w:ind w:left="714" w:hanging="357"/>
        <w:contextualSpacing w:val="0"/>
        <w:jc w:val="both"/>
        <w:rPr>
          <w:rFonts w:ascii="Arial" w:hAnsi="Arial" w:cs="Arial"/>
          <w:sz w:val="24"/>
          <w:szCs w:val="24"/>
        </w:rPr>
      </w:pPr>
      <w:r w:rsidRPr="00A05C9C">
        <w:rPr>
          <w:rFonts w:ascii="Arial" w:hAnsi="Arial" w:cs="Arial"/>
          <w:sz w:val="24"/>
          <w:szCs w:val="24"/>
        </w:rPr>
        <w:t>Vyhláška č. 208/2017 Sb., kterou se stanoví rozsah technických parametrů pro zařízení, jejichž prostřednictvím jsou provozovány hazardní hry, požadavků na ochranu a uchovávání herních a finančních dat a jejich technické parametry, ve znění pozdějších předpisů;</w:t>
      </w:r>
    </w:p>
    <w:p w14:paraId="0630E921" w14:textId="77777777" w:rsidR="00A05C9C" w:rsidRDefault="00A05C9C" w:rsidP="00A05C9C">
      <w:pPr>
        <w:pStyle w:val="Odstavecseseznamem"/>
        <w:numPr>
          <w:ilvl w:val="0"/>
          <w:numId w:val="8"/>
        </w:numPr>
        <w:spacing w:after="120" w:line="240" w:lineRule="auto"/>
        <w:ind w:left="714" w:hanging="357"/>
        <w:contextualSpacing w:val="0"/>
        <w:jc w:val="both"/>
        <w:rPr>
          <w:rFonts w:ascii="Arial" w:hAnsi="Arial" w:cs="Arial"/>
          <w:sz w:val="24"/>
          <w:szCs w:val="24"/>
        </w:rPr>
      </w:pPr>
      <w:r w:rsidRPr="00A05C9C">
        <w:rPr>
          <w:rFonts w:ascii="Arial" w:hAnsi="Arial" w:cs="Arial"/>
          <w:sz w:val="24"/>
          <w:szCs w:val="24"/>
        </w:rPr>
        <w:t>Zákon č. 253/2008 Sb., o některých opatřeních proti legalizaci výnosů z trestně činnosti a financování terorismu, ve znění pozdějších předpisů;</w:t>
      </w:r>
    </w:p>
    <w:p w14:paraId="6537CEA7" w14:textId="7EA11F0B" w:rsidR="00A05C9C" w:rsidRPr="00A05C9C" w:rsidRDefault="00A05C9C" w:rsidP="00A05C9C">
      <w:pPr>
        <w:pStyle w:val="Odstavecseseznamem"/>
        <w:numPr>
          <w:ilvl w:val="0"/>
          <w:numId w:val="8"/>
        </w:numPr>
        <w:spacing w:after="120" w:line="240" w:lineRule="auto"/>
        <w:ind w:left="714" w:hanging="357"/>
        <w:contextualSpacing w:val="0"/>
        <w:jc w:val="both"/>
        <w:rPr>
          <w:rFonts w:ascii="Arial" w:hAnsi="Arial" w:cs="Arial"/>
          <w:sz w:val="24"/>
          <w:szCs w:val="24"/>
        </w:rPr>
      </w:pPr>
      <w:r w:rsidRPr="00A05C9C">
        <w:rPr>
          <w:rFonts w:ascii="Arial" w:eastAsia="Times New Roman" w:hAnsi="Arial" w:cs="Arial"/>
          <w:color w:val="000000"/>
          <w:sz w:val="24"/>
          <w:szCs w:val="24"/>
          <w:lang w:eastAsia="cs-CZ"/>
        </w:rPr>
        <w:t>a další související právní předpisy.</w:t>
      </w:r>
    </w:p>
    <w:p w14:paraId="7C191D34" w14:textId="77099185" w:rsidR="00937E8C" w:rsidRPr="003E733E" w:rsidRDefault="00937E8C" w:rsidP="003E733E">
      <w:pPr>
        <w:pStyle w:val="Odstavecseseznamem"/>
        <w:numPr>
          <w:ilvl w:val="0"/>
          <w:numId w:val="1"/>
        </w:numPr>
        <w:spacing w:line="240" w:lineRule="auto"/>
        <w:rPr>
          <w:rFonts w:ascii="Arial" w:eastAsia="Times New Roman" w:hAnsi="Arial" w:cs="Arial"/>
          <w:b/>
          <w:color w:val="000000"/>
          <w:sz w:val="24"/>
          <w:szCs w:val="24"/>
          <w:lang w:eastAsia="cs-CZ"/>
        </w:rPr>
      </w:pPr>
      <w:r w:rsidRPr="00937E8C">
        <w:rPr>
          <w:rFonts w:ascii="Arial" w:eastAsia="Times New Roman" w:hAnsi="Arial" w:cs="Arial"/>
          <w:b/>
          <w:color w:val="000000"/>
          <w:sz w:val="24"/>
          <w:szCs w:val="24"/>
          <w:lang w:eastAsia="cs-CZ"/>
        </w:rPr>
        <w:t>Prohlášení</w:t>
      </w:r>
    </w:p>
    <w:p w14:paraId="233D4159" w14:textId="0D9C5ED8" w:rsidR="00937E8C" w:rsidRPr="00937E8C" w:rsidRDefault="00937E8C" w:rsidP="003E733E">
      <w:pPr>
        <w:spacing w:line="240" w:lineRule="auto"/>
        <w:jc w:val="both"/>
        <w:rPr>
          <w:rFonts w:ascii="Arial" w:eastAsia="Times New Roman" w:hAnsi="Arial" w:cs="Arial"/>
          <w:color w:val="000000"/>
          <w:sz w:val="24"/>
          <w:szCs w:val="24"/>
          <w:lang w:eastAsia="cs-CZ"/>
        </w:rPr>
      </w:pPr>
      <w:r w:rsidRPr="00937E8C">
        <w:rPr>
          <w:rFonts w:ascii="Arial" w:eastAsia="Times New Roman" w:hAnsi="Arial" w:cs="Arial"/>
          <w:color w:val="000000"/>
          <w:sz w:val="24"/>
          <w:szCs w:val="24"/>
          <w:lang w:eastAsia="cs-CZ"/>
        </w:rPr>
        <w:t xml:space="preserve">Herní plán je </w:t>
      </w:r>
      <w:r w:rsidR="00927E45">
        <w:rPr>
          <w:rFonts w:ascii="Arial" w:eastAsia="Times New Roman" w:hAnsi="Arial" w:cs="Arial"/>
          <w:color w:val="000000"/>
          <w:sz w:val="24"/>
          <w:szCs w:val="24"/>
          <w:lang w:eastAsia="cs-CZ"/>
        </w:rPr>
        <w:t>přílohou</w:t>
      </w:r>
      <w:r w:rsidR="00927E45" w:rsidRPr="00937E8C">
        <w:rPr>
          <w:rFonts w:ascii="Arial" w:eastAsia="Times New Roman" w:hAnsi="Arial" w:cs="Arial"/>
          <w:color w:val="000000"/>
          <w:sz w:val="24"/>
          <w:szCs w:val="24"/>
          <w:lang w:eastAsia="cs-CZ"/>
        </w:rPr>
        <w:t xml:space="preserve"> </w:t>
      </w:r>
      <w:r w:rsidRPr="00937E8C">
        <w:rPr>
          <w:rFonts w:ascii="Arial" w:eastAsia="Times New Roman" w:hAnsi="Arial" w:cs="Arial"/>
          <w:color w:val="000000"/>
          <w:sz w:val="24"/>
          <w:szCs w:val="24"/>
          <w:lang w:eastAsia="cs-CZ"/>
        </w:rPr>
        <w:t>základního povolení vydávaného dle ZHH a jeho znění bylo schváleno Ministerstvem financí ČR.</w:t>
      </w:r>
    </w:p>
    <w:p w14:paraId="38F44C5B" w14:textId="6FD75E59" w:rsidR="00AE7DF8" w:rsidRPr="00AE7DF8" w:rsidRDefault="00BE24D5" w:rsidP="003E733E">
      <w:pPr>
        <w:spacing w:line="240" w:lineRule="auto"/>
        <w:jc w:val="both"/>
        <w:rPr>
          <w:rFonts w:ascii="Arial" w:eastAsia="Times New Roman" w:hAnsi="Arial" w:cs="Arial"/>
          <w:color w:val="000000"/>
          <w:sz w:val="24"/>
          <w:szCs w:val="24"/>
          <w:lang w:eastAsia="cs-CZ"/>
        </w:rPr>
      </w:pPr>
      <w:r>
        <w:rPr>
          <w:rFonts w:ascii="Arial" w:eastAsia="Times New Roman" w:hAnsi="Arial" w:cs="Arial"/>
          <w:color w:val="000000"/>
          <w:sz w:val="24"/>
          <w:szCs w:val="24"/>
          <w:lang w:eastAsia="cs-CZ"/>
        </w:rPr>
        <w:t xml:space="preserve">Ustanovení právních předpisů mají přednost před ustanovením herního plánu. </w:t>
      </w:r>
      <w:r w:rsidR="00937E8C" w:rsidRPr="00937E8C">
        <w:rPr>
          <w:rFonts w:ascii="Arial" w:eastAsia="Times New Roman" w:hAnsi="Arial" w:cs="Arial"/>
          <w:color w:val="000000"/>
          <w:sz w:val="24"/>
          <w:szCs w:val="24"/>
          <w:lang w:eastAsia="cs-CZ"/>
        </w:rPr>
        <w:t xml:space="preserve">Ustanovení tohoto herního plánu mají přednost před obchodními podmínkami </w:t>
      </w:r>
      <w:r w:rsidR="007A3DF7">
        <w:rPr>
          <w:rFonts w:ascii="Arial" w:eastAsia="Times New Roman" w:hAnsi="Arial" w:cs="Arial"/>
          <w:color w:val="000000"/>
          <w:sz w:val="24"/>
          <w:szCs w:val="24"/>
          <w:lang w:eastAsia="cs-CZ"/>
        </w:rPr>
        <w:t xml:space="preserve">provozovatele </w:t>
      </w:r>
      <w:r w:rsidR="00937E8C" w:rsidRPr="00937E8C">
        <w:rPr>
          <w:rFonts w:ascii="Arial" w:eastAsia="Times New Roman" w:hAnsi="Arial" w:cs="Arial"/>
          <w:color w:val="000000"/>
          <w:sz w:val="24"/>
          <w:szCs w:val="24"/>
          <w:lang w:eastAsia="cs-CZ"/>
        </w:rPr>
        <w:t>a jinými obdobnými dokumenty</w:t>
      </w:r>
      <w:r w:rsidR="007A3DF7">
        <w:rPr>
          <w:rFonts w:ascii="Arial" w:eastAsia="Times New Roman" w:hAnsi="Arial" w:cs="Arial"/>
          <w:color w:val="000000"/>
          <w:sz w:val="24"/>
          <w:szCs w:val="24"/>
          <w:lang w:eastAsia="cs-CZ"/>
        </w:rPr>
        <w:t xml:space="preserve"> </w:t>
      </w:r>
      <w:r w:rsidR="00937E8C" w:rsidRPr="00937E8C">
        <w:rPr>
          <w:rFonts w:ascii="Arial" w:eastAsia="Times New Roman" w:hAnsi="Arial" w:cs="Arial"/>
          <w:color w:val="000000"/>
          <w:sz w:val="24"/>
          <w:szCs w:val="24"/>
          <w:lang w:eastAsia="cs-CZ"/>
        </w:rPr>
        <w:t>(např. smlouv</w:t>
      </w:r>
      <w:r w:rsidR="007A3DF7">
        <w:rPr>
          <w:rFonts w:ascii="Arial" w:eastAsia="Times New Roman" w:hAnsi="Arial" w:cs="Arial"/>
          <w:color w:val="000000"/>
          <w:sz w:val="24"/>
          <w:szCs w:val="24"/>
          <w:lang w:eastAsia="cs-CZ"/>
        </w:rPr>
        <w:t>a uzavřená mezi sázejícím a provozovatelem</w:t>
      </w:r>
      <w:r w:rsidR="00937E8C" w:rsidRPr="00937E8C">
        <w:rPr>
          <w:rFonts w:ascii="Arial" w:eastAsia="Times New Roman" w:hAnsi="Arial" w:cs="Arial"/>
          <w:color w:val="000000"/>
          <w:sz w:val="24"/>
          <w:szCs w:val="24"/>
          <w:lang w:eastAsia="cs-CZ"/>
        </w:rPr>
        <w:t>).</w:t>
      </w:r>
    </w:p>
    <w:p w14:paraId="30FFB655" w14:textId="256656B5" w:rsidR="008832B7" w:rsidRPr="00CF46E3" w:rsidRDefault="0057398B" w:rsidP="00CF46E3">
      <w:pPr>
        <w:pStyle w:val="Odstavecseseznamem"/>
        <w:numPr>
          <w:ilvl w:val="0"/>
          <w:numId w:val="1"/>
        </w:numPr>
        <w:jc w:val="both"/>
        <w:rPr>
          <w:rFonts w:ascii="Arial" w:hAnsi="Arial" w:cs="Arial"/>
          <w:b/>
          <w:sz w:val="24"/>
          <w:szCs w:val="24"/>
        </w:rPr>
      </w:pPr>
      <w:r>
        <w:rPr>
          <w:rFonts w:ascii="Arial" w:hAnsi="Arial" w:cs="Arial"/>
          <w:b/>
          <w:sz w:val="24"/>
          <w:szCs w:val="24"/>
        </w:rPr>
        <w:t>Obecná p</w:t>
      </w:r>
      <w:r w:rsidR="008832B7" w:rsidRPr="00CF46E3">
        <w:rPr>
          <w:rFonts w:ascii="Arial" w:hAnsi="Arial" w:cs="Arial"/>
          <w:b/>
          <w:sz w:val="24"/>
          <w:szCs w:val="24"/>
        </w:rPr>
        <w:t xml:space="preserve">ravidla </w:t>
      </w:r>
      <w:r>
        <w:rPr>
          <w:rFonts w:ascii="Arial" w:hAnsi="Arial" w:cs="Arial"/>
          <w:b/>
          <w:sz w:val="24"/>
          <w:szCs w:val="24"/>
        </w:rPr>
        <w:t xml:space="preserve">účasti na </w:t>
      </w:r>
      <w:r w:rsidR="008832B7" w:rsidRPr="00CF46E3">
        <w:rPr>
          <w:rFonts w:ascii="Arial" w:hAnsi="Arial" w:cs="Arial"/>
          <w:b/>
          <w:sz w:val="24"/>
          <w:szCs w:val="24"/>
        </w:rPr>
        <w:t>hazardní h</w:t>
      </w:r>
      <w:r>
        <w:rPr>
          <w:rFonts w:ascii="Arial" w:hAnsi="Arial" w:cs="Arial"/>
          <w:b/>
          <w:sz w:val="24"/>
          <w:szCs w:val="24"/>
        </w:rPr>
        <w:t>ře</w:t>
      </w:r>
    </w:p>
    <w:p w14:paraId="5C8A14A9" w14:textId="4C68C2BC" w:rsidR="00572DF2" w:rsidRDefault="00572DF2" w:rsidP="00572DF2">
      <w:pPr>
        <w:jc w:val="both"/>
        <w:rPr>
          <w:rFonts w:ascii="Arial" w:hAnsi="Arial" w:cs="Arial"/>
          <w:sz w:val="24"/>
          <w:szCs w:val="24"/>
        </w:rPr>
      </w:pPr>
      <w:r>
        <w:rPr>
          <w:rFonts w:ascii="Arial" w:hAnsi="Arial" w:cs="Arial"/>
          <w:sz w:val="24"/>
          <w:szCs w:val="24"/>
        </w:rPr>
        <w:t>Obecná pravidla provozování hazardních her jsou upravena v ZHH. ZHH upravuje zejména pravidla registrace, pravidla zřízení a zrušení uživatelského konta, informační povinnost provozovatele, základní pravidla pro vyplácení výhry sázejícímu a další.</w:t>
      </w:r>
    </w:p>
    <w:p w14:paraId="6A037857" w14:textId="33E91002" w:rsidR="00572DF2" w:rsidRDefault="00572DF2" w:rsidP="00572DF2">
      <w:pPr>
        <w:jc w:val="both"/>
        <w:rPr>
          <w:rFonts w:ascii="Arial" w:hAnsi="Arial" w:cs="Arial"/>
          <w:sz w:val="24"/>
          <w:szCs w:val="24"/>
        </w:rPr>
      </w:pPr>
      <w:r w:rsidRPr="00AC1D7D">
        <w:rPr>
          <w:rFonts w:ascii="Arial" w:hAnsi="Arial" w:cs="Arial"/>
          <w:sz w:val="24"/>
          <w:szCs w:val="24"/>
        </w:rPr>
        <w:lastRenderedPageBreak/>
        <w:t xml:space="preserve">Pro účely omezení míry rizikového hraní provozovatel účastníkům </w:t>
      </w:r>
      <w:r>
        <w:rPr>
          <w:rFonts w:ascii="Arial" w:hAnsi="Arial" w:cs="Arial"/>
          <w:sz w:val="24"/>
          <w:szCs w:val="24"/>
        </w:rPr>
        <w:t xml:space="preserve">hazardní hry </w:t>
      </w:r>
      <w:r w:rsidRPr="00AC1D7D">
        <w:rPr>
          <w:rFonts w:ascii="Arial" w:hAnsi="Arial" w:cs="Arial"/>
          <w:sz w:val="24"/>
          <w:szCs w:val="24"/>
        </w:rPr>
        <w:t xml:space="preserve">poskytuje nástroje pro zodpovědné hraní, jejichž popis je upraven v </w:t>
      </w:r>
      <w:r>
        <w:rPr>
          <w:rFonts w:ascii="Arial" w:hAnsi="Arial" w:cs="Arial"/>
          <w:sz w:val="24"/>
          <w:szCs w:val="24"/>
        </w:rPr>
        <w:t>ZHH</w:t>
      </w:r>
      <w:r w:rsidRPr="00AC1D7D">
        <w:rPr>
          <w:rFonts w:ascii="Arial" w:hAnsi="Arial" w:cs="Arial"/>
          <w:sz w:val="24"/>
          <w:szCs w:val="24"/>
        </w:rPr>
        <w:t xml:space="preserve"> – jedná se zejména o Rejstřík fyzických osob vyloučených z účasti na hazardních hrách, </w:t>
      </w:r>
      <w:r w:rsidR="006B41E3">
        <w:rPr>
          <w:rFonts w:ascii="Arial" w:hAnsi="Arial" w:cs="Arial"/>
          <w:sz w:val="24"/>
          <w:szCs w:val="24"/>
        </w:rPr>
        <w:t>možnost nastavení s</w:t>
      </w:r>
      <w:r w:rsidRPr="00AC1D7D">
        <w:rPr>
          <w:rFonts w:ascii="Arial" w:hAnsi="Arial" w:cs="Arial"/>
          <w:sz w:val="24"/>
          <w:szCs w:val="24"/>
        </w:rPr>
        <w:t>ebeomezující</w:t>
      </w:r>
      <w:r w:rsidR="006B41E3">
        <w:rPr>
          <w:rFonts w:ascii="Arial" w:hAnsi="Arial" w:cs="Arial"/>
          <w:sz w:val="24"/>
          <w:szCs w:val="24"/>
        </w:rPr>
        <w:t>ch</w:t>
      </w:r>
      <w:r w:rsidRPr="00AC1D7D">
        <w:rPr>
          <w:rFonts w:ascii="Arial" w:hAnsi="Arial" w:cs="Arial"/>
          <w:sz w:val="24"/>
          <w:szCs w:val="24"/>
        </w:rPr>
        <w:t xml:space="preserve"> opatření a </w:t>
      </w:r>
      <w:r w:rsidR="006B41E3">
        <w:rPr>
          <w:rFonts w:ascii="Arial" w:hAnsi="Arial" w:cs="Arial"/>
          <w:sz w:val="24"/>
          <w:szCs w:val="24"/>
        </w:rPr>
        <w:t>možnost využití prostředku</w:t>
      </w:r>
      <w:r w:rsidRPr="00AC1D7D">
        <w:rPr>
          <w:rFonts w:ascii="Arial" w:hAnsi="Arial" w:cs="Arial"/>
          <w:sz w:val="24"/>
          <w:szCs w:val="24"/>
        </w:rPr>
        <w:t xml:space="preserve"> pro zamezení účasti na hazardní hře</w:t>
      </w:r>
      <w:r>
        <w:rPr>
          <w:rFonts w:ascii="Arial" w:hAnsi="Arial" w:cs="Arial"/>
          <w:sz w:val="24"/>
          <w:szCs w:val="24"/>
        </w:rPr>
        <w:t>.</w:t>
      </w:r>
    </w:p>
    <w:p w14:paraId="0F17E782" w14:textId="23AE0064" w:rsidR="005D4758" w:rsidRPr="0064402A" w:rsidRDefault="009B3FAF" w:rsidP="00572DF2">
      <w:pPr>
        <w:jc w:val="both"/>
        <w:rPr>
          <w:rFonts w:ascii="Arial" w:hAnsi="Arial" w:cs="Arial"/>
          <w:sz w:val="24"/>
          <w:szCs w:val="24"/>
        </w:rPr>
      </w:pPr>
      <w:r w:rsidRPr="00791574">
        <w:rPr>
          <w:rFonts w:ascii="Arial" w:hAnsi="Arial" w:cs="Arial"/>
          <w:sz w:val="24"/>
          <w:szCs w:val="24"/>
          <w:highlight w:val="cyan"/>
        </w:rPr>
        <w:t xml:space="preserve">Pokud provozovatel umožňuje nastavení hodnot sebeomezujících opatření společně pro více druhů, uvede následující formulaci a vyplní druhy hazardních her. Pokud nastavuje hodnoty opatření pouze pro </w:t>
      </w:r>
      <w:r>
        <w:rPr>
          <w:rFonts w:ascii="Arial" w:hAnsi="Arial" w:cs="Arial"/>
          <w:sz w:val="24"/>
          <w:szCs w:val="24"/>
          <w:highlight w:val="cyan"/>
        </w:rPr>
        <w:t>internetovou loterii</w:t>
      </w:r>
      <w:r w:rsidRPr="00791574">
        <w:rPr>
          <w:rFonts w:ascii="Arial" w:hAnsi="Arial" w:cs="Arial"/>
          <w:sz w:val="24"/>
          <w:szCs w:val="24"/>
          <w:highlight w:val="cyan"/>
        </w:rPr>
        <w:t>, formulaci neuvádí.</w:t>
      </w:r>
      <w:r>
        <w:rPr>
          <w:rFonts w:ascii="Arial" w:hAnsi="Arial" w:cs="Arial"/>
          <w:sz w:val="24"/>
          <w:szCs w:val="24"/>
        </w:rPr>
        <w:t xml:space="preserve"> </w:t>
      </w:r>
      <w:r w:rsidR="005D4758" w:rsidRPr="009B3FAF">
        <w:rPr>
          <w:rFonts w:ascii="Arial" w:hAnsi="Arial" w:cs="Arial"/>
          <w:sz w:val="24"/>
          <w:szCs w:val="24"/>
          <w:highlight w:val="yellow"/>
        </w:rPr>
        <w:t>Provozovatel umožňuje nastavení hodnot sebeomezujících opatření společně pro následující druhy hazardních her:</w:t>
      </w:r>
      <w:r w:rsidR="005D4758" w:rsidRPr="00817086">
        <w:rPr>
          <w:rFonts w:ascii="Arial" w:hAnsi="Arial" w:cs="Arial"/>
          <w:sz w:val="24"/>
          <w:szCs w:val="24"/>
        </w:rPr>
        <w:t xml:space="preserve"> </w:t>
      </w:r>
      <w:r w:rsidR="005D4758" w:rsidRPr="007D2A3F">
        <w:rPr>
          <w:rFonts w:ascii="Arial" w:hAnsi="Arial" w:cs="Arial"/>
          <w:sz w:val="24"/>
          <w:szCs w:val="24"/>
          <w:highlight w:val="yellow"/>
        </w:rPr>
        <w:t>XXXX</w:t>
      </w:r>
      <w:r w:rsidR="005D4758" w:rsidRPr="0064402A">
        <w:rPr>
          <w:rFonts w:ascii="Arial" w:hAnsi="Arial" w:cs="Arial"/>
          <w:sz w:val="24"/>
          <w:szCs w:val="24"/>
        </w:rPr>
        <w:t xml:space="preserve">. </w:t>
      </w:r>
    </w:p>
    <w:p w14:paraId="579FE9B4" w14:textId="6E5790A9" w:rsidR="00F15407" w:rsidRDefault="00F15407" w:rsidP="00572DF2">
      <w:pPr>
        <w:jc w:val="both"/>
        <w:rPr>
          <w:rFonts w:ascii="Arial" w:hAnsi="Arial" w:cs="Arial"/>
          <w:sz w:val="24"/>
          <w:szCs w:val="24"/>
        </w:rPr>
      </w:pPr>
      <w:r w:rsidRPr="0064402A">
        <w:rPr>
          <w:rFonts w:ascii="Arial" w:hAnsi="Arial" w:cs="Arial"/>
          <w:sz w:val="24"/>
          <w:szCs w:val="24"/>
        </w:rPr>
        <w:t>Registrace je</w:t>
      </w:r>
      <w:r w:rsidR="00C80C23" w:rsidRPr="0064402A">
        <w:rPr>
          <w:rFonts w:ascii="Arial" w:hAnsi="Arial" w:cs="Arial"/>
          <w:sz w:val="24"/>
          <w:szCs w:val="24"/>
        </w:rPr>
        <w:t xml:space="preserve"> dle ZHH</w:t>
      </w:r>
      <w:r w:rsidRPr="0064402A">
        <w:rPr>
          <w:rFonts w:ascii="Arial" w:hAnsi="Arial" w:cs="Arial"/>
          <w:sz w:val="24"/>
          <w:szCs w:val="24"/>
        </w:rPr>
        <w:t xml:space="preserve"> podmínkou účasti na </w:t>
      </w:r>
      <w:r w:rsidR="0064402A" w:rsidRPr="0064402A">
        <w:rPr>
          <w:rFonts w:ascii="Arial" w:hAnsi="Arial" w:cs="Arial"/>
          <w:sz w:val="24"/>
          <w:szCs w:val="24"/>
        </w:rPr>
        <w:t>loterii</w:t>
      </w:r>
      <w:r w:rsidRPr="0064402A">
        <w:rPr>
          <w:rFonts w:ascii="Arial" w:hAnsi="Arial" w:cs="Arial"/>
          <w:sz w:val="24"/>
          <w:szCs w:val="24"/>
        </w:rPr>
        <w:t xml:space="preserve"> provozovan</w:t>
      </w:r>
      <w:r w:rsidR="0064402A" w:rsidRPr="0064402A">
        <w:rPr>
          <w:rFonts w:ascii="Arial" w:hAnsi="Arial" w:cs="Arial"/>
          <w:sz w:val="24"/>
          <w:szCs w:val="24"/>
        </w:rPr>
        <w:t xml:space="preserve">é prostřednictvím internetu. </w:t>
      </w:r>
      <w:r w:rsidR="009241B2" w:rsidRPr="0064402A">
        <w:rPr>
          <w:rFonts w:ascii="Arial" w:hAnsi="Arial" w:cs="Arial"/>
          <w:sz w:val="24"/>
          <w:szCs w:val="24"/>
        </w:rPr>
        <w:t>Registrace je dokončena okamžikem zřízení uživatelského konta a</w:t>
      </w:r>
      <w:r w:rsidR="00937311">
        <w:rPr>
          <w:rFonts w:ascii="Arial" w:hAnsi="Arial" w:cs="Arial"/>
          <w:sz w:val="24"/>
          <w:szCs w:val="24"/>
        </w:rPr>
        <w:t> </w:t>
      </w:r>
      <w:r w:rsidR="009241B2" w:rsidRPr="0064402A">
        <w:rPr>
          <w:rFonts w:ascii="Arial" w:hAnsi="Arial" w:cs="Arial"/>
          <w:sz w:val="24"/>
          <w:szCs w:val="24"/>
        </w:rPr>
        <w:t>přidělením přístupových údajů nebo jiného přístupového prostředku k němu.</w:t>
      </w:r>
    </w:p>
    <w:p w14:paraId="05CADE47" w14:textId="326DC45C" w:rsidR="006F3C51" w:rsidRDefault="006F3C51" w:rsidP="00572DF2">
      <w:pPr>
        <w:jc w:val="both"/>
        <w:rPr>
          <w:rFonts w:ascii="Arial" w:hAnsi="Arial" w:cs="Arial"/>
          <w:sz w:val="24"/>
          <w:szCs w:val="24"/>
        </w:rPr>
      </w:pPr>
      <w:r w:rsidRPr="0057398B">
        <w:rPr>
          <w:rFonts w:ascii="Arial" w:hAnsi="Arial" w:cs="Arial"/>
          <w:sz w:val="24"/>
          <w:szCs w:val="24"/>
          <w:highlight w:val="cyan"/>
        </w:rPr>
        <w:t xml:space="preserve">Provozovatel uvede, zda v důsledku registrace sázejícímu vzniká uživatelské konto i k provozování jiných druhů provozovatelem provozovaných hazardních her, anebo se jedná o uživatelské konto jen pro konkrétní druh hazardní hry, a to například následující formulací: </w:t>
      </w:r>
      <w:r w:rsidR="0057398B" w:rsidRPr="0057398B">
        <w:rPr>
          <w:rFonts w:ascii="Arial" w:hAnsi="Arial" w:cs="Arial"/>
          <w:sz w:val="24"/>
          <w:szCs w:val="24"/>
          <w:highlight w:val="cyan"/>
        </w:rPr>
        <w:t xml:space="preserve">(var. 1) </w:t>
      </w:r>
      <w:r w:rsidRPr="0057398B">
        <w:rPr>
          <w:rFonts w:ascii="Arial" w:hAnsi="Arial" w:cs="Arial"/>
          <w:sz w:val="24"/>
          <w:szCs w:val="24"/>
          <w:highlight w:val="green"/>
        </w:rPr>
        <w:t>V důsledku registrace je účastníku hazardní hry po splnění všech zákonných podmínek zřízeno jedno uživatelské konto k účasti i na dalších druzích provozovatelem provozovaných hazardních her.</w:t>
      </w:r>
      <w:r w:rsidR="0057398B" w:rsidRPr="0057398B">
        <w:rPr>
          <w:rFonts w:ascii="Arial" w:hAnsi="Arial" w:cs="Arial"/>
          <w:sz w:val="24"/>
          <w:szCs w:val="24"/>
          <w:highlight w:val="green"/>
        </w:rPr>
        <w:t xml:space="preserve"> </w:t>
      </w:r>
      <w:r w:rsidR="0057398B" w:rsidRPr="0057398B">
        <w:rPr>
          <w:rFonts w:ascii="Arial" w:hAnsi="Arial" w:cs="Arial"/>
          <w:sz w:val="24"/>
          <w:szCs w:val="24"/>
          <w:highlight w:val="cyan"/>
        </w:rPr>
        <w:t>(var. 2)</w:t>
      </w:r>
      <w:r w:rsidRPr="0057398B">
        <w:rPr>
          <w:rFonts w:ascii="Arial" w:hAnsi="Arial" w:cs="Arial"/>
          <w:sz w:val="24"/>
          <w:szCs w:val="24"/>
          <w:highlight w:val="cyan"/>
        </w:rPr>
        <w:t xml:space="preserve"> </w:t>
      </w:r>
      <w:r w:rsidRPr="0057398B">
        <w:rPr>
          <w:rFonts w:ascii="Arial" w:hAnsi="Arial" w:cs="Arial"/>
          <w:sz w:val="24"/>
          <w:szCs w:val="24"/>
          <w:highlight w:val="green"/>
        </w:rPr>
        <w:t xml:space="preserve">Uživatelské konto je zřízeno pouze k účasti </w:t>
      </w:r>
      <w:r w:rsidR="00A4197A" w:rsidRPr="0057398B">
        <w:rPr>
          <w:rFonts w:ascii="Arial" w:hAnsi="Arial" w:cs="Arial"/>
          <w:sz w:val="24"/>
          <w:szCs w:val="24"/>
          <w:highlight w:val="green"/>
        </w:rPr>
        <w:t xml:space="preserve">na </w:t>
      </w:r>
      <w:r w:rsidR="009B3FAF">
        <w:rPr>
          <w:rFonts w:ascii="Arial" w:hAnsi="Arial" w:cs="Arial"/>
          <w:sz w:val="24"/>
          <w:szCs w:val="24"/>
          <w:highlight w:val="green"/>
        </w:rPr>
        <w:t>internetové loterii</w:t>
      </w:r>
      <w:r w:rsidRPr="0057398B">
        <w:rPr>
          <w:rFonts w:ascii="Arial" w:hAnsi="Arial" w:cs="Arial"/>
          <w:sz w:val="24"/>
          <w:szCs w:val="24"/>
          <w:highlight w:val="green"/>
        </w:rPr>
        <w:t>. Pro účast na jiných druzích hazardních her je nezbytné</w:t>
      </w:r>
      <w:r w:rsidR="004748F9" w:rsidRPr="0057398B">
        <w:rPr>
          <w:rFonts w:ascii="Arial" w:hAnsi="Arial" w:cs="Arial"/>
          <w:sz w:val="24"/>
          <w:szCs w:val="24"/>
          <w:highlight w:val="green"/>
        </w:rPr>
        <w:t xml:space="preserve"> projít procesem registrace ke konkrétnímu druhu hazardních hry.</w:t>
      </w:r>
    </w:p>
    <w:p w14:paraId="55EF6CC3" w14:textId="5D6AE3D2" w:rsidR="0057398B" w:rsidRDefault="0057398B" w:rsidP="0057398B">
      <w:pPr>
        <w:jc w:val="both"/>
        <w:rPr>
          <w:rFonts w:ascii="Arial" w:hAnsi="Arial" w:cs="Arial"/>
          <w:sz w:val="24"/>
          <w:szCs w:val="24"/>
        </w:rPr>
      </w:pPr>
      <w:r w:rsidRPr="00D316E0">
        <w:rPr>
          <w:rFonts w:ascii="Arial" w:hAnsi="Arial" w:cs="Arial"/>
          <w:sz w:val="24"/>
          <w:szCs w:val="24"/>
        </w:rPr>
        <w:t xml:space="preserve">Účastník hazardní hry </w:t>
      </w:r>
      <w:r w:rsidRPr="00130E5B">
        <w:rPr>
          <w:rFonts w:ascii="Arial" w:hAnsi="Arial" w:cs="Arial"/>
          <w:sz w:val="24"/>
          <w:szCs w:val="24"/>
          <w:highlight w:val="green"/>
        </w:rPr>
        <w:t>může/nemůže</w:t>
      </w:r>
      <w:r w:rsidRPr="00D316E0">
        <w:rPr>
          <w:rFonts w:ascii="Arial" w:hAnsi="Arial" w:cs="Arial"/>
          <w:sz w:val="24"/>
          <w:szCs w:val="24"/>
        </w:rPr>
        <w:t xml:space="preserve"> převádět peněžní nebo hrací prostředky evidované na uživatelském kontu mezi dalšími jemu zřízenými uživatelskými konty pro provozování jiných </w:t>
      </w:r>
      <w:r>
        <w:rPr>
          <w:rFonts w:ascii="Arial" w:hAnsi="Arial" w:cs="Arial"/>
          <w:sz w:val="24"/>
          <w:szCs w:val="24"/>
        </w:rPr>
        <w:t xml:space="preserve">druhů </w:t>
      </w:r>
      <w:r w:rsidRPr="00D316E0">
        <w:rPr>
          <w:rFonts w:ascii="Arial" w:hAnsi="Arial" w:cs="Arial"/>
          <w:sz w:val="24"/>
          <w:szCs w:val="24"/>
        </w:rPr>
        <w:t>hazardních her provozovatelem.</w:t>
      </w:r>
    </w:p>
    <w:p w14:paraId="31084410" w14:textId="459F91C3" w:rsidR="0057398B" w:rsidRDefault="009B3FAF" w:rsidP="0057398B">
      <w:pPr>
        <w:jc w:val="both"/>
        <w:rPr>
          <w:rFonts w:ascii="Arial" w:hAnsi="Arial" w:cs="Arial"/>
          <w:sz w:val="24"/>
          <w:szCs w:val="24"/>
        </w:rPr>
      </w:pPr>
      <w:r>
        <w:rPr>
          <w:rFonts w:ascii="Arial" w:hAnsi="Arial" w:cs="Arial"/>
          <w:sz w:val="24"/>
          <w:szCs w:val="24"/>
          <w:highlight w:val="cyan"/>
        </w:rPr>
        <w:t xml:space="preserve">V případě společného účtu pro více druhů hazardních her </w:t>
      </w:r>
      <w:r w:rsidRPr="00B449CE">
        <w:rPr>
          <w:rFonts w:ascii="Arial" w:hAnsi="Arial" w:cs="Arial"/>
          <w:sz w:val="24"/>
          <w:szCs w:val="24"/>
          <w:highlight w:val="cyan"/>
        </w:rPr>
        <w:t>uvede provozovatel</w:t>
      </w:r>
      <w:r w:rsidR="0057398B" w:rsidRPr="00130E5B">
        <w:rPr>
          <w:rFonts w:ascii="Arial" w:hAnsi="Arial" w:cs="Arial"/>
          <w:sz w:val="24"/>
          <w:szCs w:val="24"/>
          <w:highlight w:val="cyan"/>
        </w:rPr>
        <w:t>, zda jsou peněžní prostředky a hrací prostředky evidovány na podúčtech odděleně ve smyslu § 17e odst. 7 ZHH anebo na jednom společném účtu na uživatelském kontě, a to např. následovně:</w:t>
      </w:r>
      <w:r w:rsidR="0057398B">
        <w:rPr>
          <w:rFonts w:ascii="Arial" w:hAnsi="Arial" w:cs="Arial"/>
          <w:sz w:val="24"/>
          <w:szCs w:val="24"/>
          <w:highlight w:val="cyan"/>
        </w:rPr>
        <w:t xml:space="preserve"> (var. 1) </w:t>
      </w:r>
      <w:r w:rsidR="0057398B" w:rsidRPr="00130E5B">
        <w:rPr>
          <w:rFonts w:ascii="Arial" w:hAnsi="Arial" w:cs="Arial"/>
          <w:sz w:val="24"/>
          <w:szCs w:val="24"/>
          <w:highlight w:val="green"/>
        </w:rPr>
        <w:t>Uživatelské konto evid</w:t>
      </w:r>
      <w:r>
        <w:rPr>
          <w:rFonts w:ascii="Arial" w:hAnsi="Arial" w:cs="Arial"/>
          <w:sz w:val="24"/>
          <w:szCs w:val="24"/>
          <w:highlight w:val="green"/>
        </w:rPr>
        <w:t>uje společný účet pro peněžní a </w:t>
      </w:r>
      <w:r w:rsidR="0057398B" w:rsidRPr="00130E5B">
        <w:rPr>
          <w:rFonts w:ascii="Arial" w:hAnsi="Arial" w:cs="Arial"/>
          <w:sz w:val="24"/>
          <w:szCs w:val="24"/>
          <w:highlight w:val="green"/>
        </w:rPr>
        <w:t xml:space="preserve">hrací prostředky sázejícího určené k účasti na internetové </w:t>
      </w:r>
      <w:r w:rsidR="0057398B">
        <w:rPr>
          <w:rFonts w:ascii="Arial" w:hAnsi="Arial" w:cs="Arial"/>
          <w:sz w:val="24"/>
          <w:szCs w:val="24"/>
          <w:highlight w:val="green"/>
        </w:rPr>
        <w:t>loterii a</w:t>
      </w:r>
      <w:r w:rsidR="0057398B" w:rsidRPr="00130E5B">
        <w:rPr>
          <w:rFonts w:ascii="Arial" w:hAnsi="Arial" w:cs="Arial"/>
          <w:sz w:val="24"/>
          <w:szCs w:val="24"/>
          <w:highlight w:val="green"/>
        </w:rPr>
        <w:t xml:space="preserve"> ostatních druzích provozovatelem provozovaných hazardních her. </w:t>
      </w:r>
      <w:r w:rsidR="0057398B">
        <w:rPr>
          <w:rFonts w:ascii="Arial" w:hAnsi="Arial" w:cs="Arial"/>
          <w:sz w:val="24"/>
          <w:szCs w:val="24"/>
          <w:highlight w:val="cyan"/>
        </w:rPr>
        <w:t>(var. 2</w:t>
      </w:r>
      <w:r w:rsidR="0057398B" w:rsidRPr="00980794">
        <w:rPr>
          <w:rFonts w:ascii="Arial" w:hAnsi="Arial" w:cs="Arial"/>
          <w:sz w:val="24"/>
          <w:szCs w:val="24"/>
          <w:highlight w:val="cyan"/>
        </w:rPr>
        <w:t xml:space="preserve">) </w:t>
      </w:r>
      <w:r w:rsidR="0057398B" w:rsidRPr="00130E5B">
        <w:rPr>
          <w:rFonts w:ascii="Arial" w:hAnsi="Arial" w:cs="Arial"/>
          <w:sz w:val="24"/>
          <w:szCs w:val="24"/>
          <w:highlight w:val="green"/>
        </w:rPr>
        <w:t xml:space="preserve">Uživatelské konto eviduje oddělené podúčty pro </w:t>
      </w:r>
      <w:r w:rsidR="0057398B" w:rsidRPr="0057398B">
        <w:rPr>
          <w:rFonts w:ascii="Arial" w:hAnsi="Arial" w:cs="Arial"/>
          <w:sz w:val="24"/>
          <w:szCs w:val="24"/>
          <w:highlight w:val="green"/>
        </w:rPr>
        <w:t>internetovou loterii a ostatní druhy hazardních her provozovaných provozovatelem.</w:t>
      </w:r>
    </w:p>
    <w:p w14:paraId="72CA6E0B" w14:textId="41FD649A" w:rsidR="00DC302C" w:rsidRPr="00D316E0" w:rsidRDefault="00DC302C" w:rsidP="0057398B">
      <w:pPr>
        <w:jc w:val="both"/>
        <w:rPr>
          <w:rFonts w:ascii="Arial" w:hAnsi="Arial" w:cs="Arial"/>
          <w:sz w:val="24"/>
          <w:szCs w:val="24"/>
        </w:rPr>
      </w:pPr>
      <w:r w:rsidRPr="0064402A">
        <w:rPr>
          <w:rFonts w:ascii="Arial" w:hAnsi="Arial" w:cs="Arial"/>
          <w:sz w:val="24"/>
          <w:szCs w:val="24"/>
        </w:rPr>
        <w:t>Konkrétní pravidla jednotlivých hazardních her jsou uvedena ve zvláštní části tohoto herního plánu.</w:t>
      </w:r>
    </w:p>
    <w:p w14:paraId="7820959A" w14:textId="55D12CF7" w:rsidR="005E0388" w:rsidRPr="007D2A3F" w:rsidRDefault="008832B7" w:rsidP="00CF46E3">
      <w:pPr>
        <w:pStyle w:val="Odstavecseseznamem"/>
        <w:numPr>
          <w:ilvl w:val="0"/>
          <w:numId w:val="1"/>
        </w:numPr>
        <w:jc w:val="both"/>
        <w:rPr>
          <w:rFonts w:ascii="Arial" w:hAnsi="Arial" w:cs="Arial"/>
          <w:b/>
          <w:sz w:val="24"/>
          <w:szCs w:val="24"/>
        </w:rPr>
      </w:pPr>
      <w:r w:rsidRPr="007D2A3F">
        <w:rPr>
          <w:rFonts w:ascii="Arial" w:hAnsi="Arial" w:cs="Arial"/>
          <w:b/>
          <w:sz w:val="24"/>
          <w:szCs w:val="24"/>
        </w:rPr>
        <w:t>Způsob provedení slosování/zjištění okolnosti, jež určuje výhru</w:t>
      </w:r>
    </w:p>
    <w:p w14:paraId="6533CC71" w14:textId="6C454A3A" w:rsidR="009B3FAF" w:rsidRDefault="009B3FAF" w:rsidP="00435CBF">
      <w:pPr>
        <w:jc w:val="both"/>
        <w:rPr>
          <w:rFonts w:ascii="Arial" w:hAnsi="Arial" w:cs="Arial"/>
          <w:sz w:val="24"/>
          <w:szCs w:val="24"/>
        </w:rPr>
      </w:pPr>
      <w:r w:rsidRPr="009B3FAF">
        <w:rPr>
          <w:rFonts w:ascii="Arial" w:hAnsi="Arial" w:cs="Arial"/>
          <w:sz w:val="24"/>
          <w:szCs w:val="24"/>
          <w:highlight w:val="cyan"/>
        </w:rPr>
        <w:t>Provozovatel vybere pouze ty poddruhy loterií, které jsou předmětem jeho provozování.</w:t>
      </w:r>
    </w:p>
    <w:p w14:paraId="24657536" w14:textId="3F0CB2CA" w:rsidR="001A1888" w:rsidRPr="009B3FAF" w:rsidRDefault="00982ECF" w:rsidP="00435CBF">
      <w:pPr>
        <w:jc w:val="both"/>
        <w:rPr>
          <w:rFonts w:ascii="Arial" w:hAnsi="Arial" w:cs="Arial"/>
          <w:sz w:val="24"/>
          <w:szCs w:val="24"/>
          <w:highlight w:val="green"/>
        </w:rPr>
      </w:pPr>
      <w:r w:rsidRPr="009B3FAF">
        <w:rPr>
          <w:rFonts w:ascii="Arial" w:hAnsi="Arial" w:cs="Arial"/>
          <w:sz w:val="24"/>
          <w:szCs w:val="24"/>
          <w:highlight w:val="green"/>
        </w:rPr>
        <w:t>Číselná loterie</w:t>
      </w:r>
    </w:p>
    <w:p w14:paraId="6C14BBD3" w14:textId="6A62AA5C" w:rsidR="00435CBF" w:rsidRPr="009B3FAF" w:rsidRDefault="00E5207B" w:rsidP="00435CBF">
      <w:pPr>
        <w:jc w:val="both"/>
        <w:rPr>
          <w:rFonts w:ascii="Arial" w:hAnsi="Arial" w:cs="Arial"/>
          <w:sz w:val="24"/>
          <w:szCs w:val="24"/>
          <w:highlight w:val="green"/>
        </w:rPr>
      </w:pPr>
      <w:r w:rsidRPr="009B3FAF">
        <w:rPr>
          <w:rFonts w:ascii="Arial" w:hAnsi="Arial" w:cs="Arial"/>
          <w:sz w:val="24"/>
          <w:szCs w:val="24"/>
          <w:highlight w:val="green"/>
        </w:rPr>
        <w:t xml:space="preserve">Výhra je podmíněna uhodnutím určitého čísla, několika čísel, kombinace čísel nebo číselného pořadí tažených při slosování. </w:t>
      </w:r>
      <w:r w:rsidR="00435CBF" w:rsidRPr="009B3FAF">
        <w:rPr>
          <w:rFonts w:ascii="Arial" w:hAnsi="Arial" w:cs="Arial"/>
          <w:sz w:val="24"/>
          <w:szCs w:val="24"/>
          <w:highlight w:val="green"/>
        </w:rPr>
        <w:t xml:space="preserve">Konkrétní způsob </w:t>
      </w:r>
      <w:r w:rsidRPr="009B3FAF">
        <w:rPr>
          <w:rFonts w:ascii="Arial" w:hAnsi="Arial" w:cs="Arial"/>
          <w:sz w:val="24"/>
          <w:szCs w:val="24"/>
          <w:highlight w:val="green"/>
        </w:rPr>
        <w:t xml:space="preserve">určení výhry a způsob </w:t>
      </w:r>
      <w:r w:rsidR="00435CBF" w:rsidRPr="009B3FAF">
        <w:rPr>
          <w:rFonts w:ascii="Arial" w:hAnsi="Arial" w:cs="Arial"/>
          <w:sz w:val="24"/>
          <w:szCs w:val="24"/>
          <w:highlight w:val="green"/>
        </w:rPr>
        <w:lastRenderedPageBreak/>
        <w:t xml:space="preserve">slosování je upraven ve zvláštní části herního plánu ve vztahu ke každé jednotlivé </w:t>
      </w:r>
      <w:r w:rsidR="00CC0546" w:rsidRPr="009B3FAF">
        <w:rPr>
          <w:rFonts w:ascii="Arial" w:hAnsi="Arial" w:cs="Arial"/>
          <w:sz w:val="24"/>
          <w:szCs w:val="24"/>
          <w:highlight w:val="green"/>
        </w:rPr>
        <w:t xml:space="preserve">číselné </w:t>
      </w:r>
      <w:r w:rsidR="00435CBF" w:rsidRPr="009B3FAF">
        <w:rPr>
          <w:rFonts w:ascii="Arial" w:hAnsi="Arial" w:cs="Arial"/>
          <w:sz w:val="24"/>
          <w:szCs w:val="24"/>
          <w:highlight w:val="green"/>
        </w:rPr>
        <w:t>loterii.</w:t>
      </w:r>
      <w:r w:rsidR="00B3515D" w:rsidRPr="009B3FAF">
        <w:rPr>
          <w:rFonts w:ascii="Arial" w:hAnsi="Arial" w:cs="Arial"/>
          <w:sz w:val="24"/>
          <w:szCs w:val="24"/>
          <w:highlight w:val="green"/>
        </w:rPr>
        <w:t xml:space="preserve"> Slosování loterie se provádí veřejně za účasti loterní komise.</w:t>
      </w:r>
    </w:p>
    <w:p w14:paraId="2D74C3CA" w14:textId="4ABC9C80" w:rsidR="00E5207B" w:rsidRPr="009B3FAF" w:rsidRDefault="00982ECF" w:rsidP="00435CBF">
      <w:pPr>
        <w:jc w:val="both"/>
        <w:rPr>
          <w:rFonts w:ascii="Arial" w:hAnsi="Arial" w:cs="Arial"/>
          <w:sz w:val="24"/>
          <w:szCs w:val="24"/>
          <w:highlight w:val="green"/>
        </w:rPr>
      </w:pPr>
      <w:r w:rsidRPr="009B3FAF">
        <w:rPr>
          <w:rFonts w:ascii="Arial" w:hAnsi="Arial" w:cs="Arial"/>
          <w:sz w:val="24"/>
          <w:szCs w:val="24"/>
          <w:highlight w:val="green"/>
        </w:rPr>
        <w:t>Peněžitá loterie</w:t>
      </w:r>
    </w:p>
    <w:p w14:paraId="12AA6BEC" w14:textId="47E149B6" w:rsidR="00E5207B" w:rsidRPr="009B3FAF" w:rsidRDefault="00E5207B" w:rsidP="00435CBF">
      <w:pPr>
        <w:jc w:val="both"/>
        <w:rPr>
          <w:rFonts w:ascii="Arial" w:hAnsi="Arial" w:cs="Arial"/>
          <w:sz w:val="24"/>
          <w:szCs w:val="24"/>
          <w:highlight w:val="green"/>
        </w:rPr>
      </w:pPr>
      <w:r w:rsidRPr="009B3FAF">
        <w:rPr>
          <w:rFonts w:ascii="Arial" w:hAnsi="Arial" w:cs="Arial"/>
          <w:sz w:val="24"/>
          <w:szCs w:val="24"/>
          <w:highlight w:val="green"/>
        </w:rPr>
        <w:t xml:space="preserve">Výhra je podmíněna </w:t>
      </w:r>
      <w:r w:rsidR="00F3015C" w:rsidRPr="009B3FAF">
        <w:rPr>
          <w:rFonts w:ascii="Arial" w:hAnsi="Arial" w:cs="Arial"/>
          <w:sz w:val="24"/>
          <w:szCs w:val="24"/>
          <w:highlight w:val="green"/>
        </w:rPr>
        <w:t>vylosováním určitého losu</w:t>
      </w:r>
      <w:r w:rsidRPr="009B3FAF">
        <w:rPr>
          <w:rFonts w:ascii="Arial" w:hAnsi="Arial" w:cs="Arial"/>
          <w:sz w:val="24"/>
          <w:szCs w:val="24"/>
          <w:highlight w:val="green"/>
        </w:rPr>
        <w:t>. Konkrétní způsob určení výhry a</w:t>
      </w:r>
      <w:r w:rsidR="008402FA" w:rsidRPr="009B3FAF">
        <w:rPr>
          <w:rFonts w:ascii="Arial" w:hAnsi="Arial" w:cs="Arial"/>
          <w:sz w:val="24"/>
          <w:szCs w:val="24"/>
          <w:highlight w:val="green"/>
        </w:rPr>
        <w:t> </w:t>
      </w:r>
      <w:r w:rsidRPr="009B3FAF">
        <w:rPr>
          <w:rFonts w:ascii="Arial" w:hAnsi="Arial" w:cs="Arial"/>
          <w:sz w:val="24"/>
          <w:szCs w:val="24"/>
          <w:highlight w:val="green"/>
        </w:rPr>
        <w:t>způsob slosování je upraven ve zvláštní části herního plánu ve vztahu ke každé jednotlivé peněžité loterii. Slosování loterie se provádí veřejně za účasti loterní komise.</w:t>
      </w:r>
    </w:p>
    <w:p w14:paraId="4B185F2C" w14:textId="175D25F9" w:rsidR="00E5207B" w:rsidRPr="009B3FAF" w:rsidRDefault="00982ECF" w:rsidP="00435CBF">
      <w:pPr>
        <w:jc w:val="both"/>
        <w:rPr>
          <w:rFonts w:ascii="Arial" w:hAnsi="Arial" w:cs="Arial"/>
          <w:sz w:val="24"/>
          <w:szCs w:val="24"/>
          <w:highlight w:val="green"/>
        </w:rPr>
      </w:pPr>
      <w:r w:rsidRPr="009B3FAF">
        <w:rPr>
          <w:rFonts w:ascii="Arial" w:hAnsi="Arial" w:cs="Arial"/>
          <w:sz w:val="24"/>
          <w:szCs w:val="24"/>
          <w:highlight w:val="green"/>
        </w:rPr>
        <w:t>Věcná loterie</w:t>
      </w:r>
    </w:p>
    <w:p w14:paraId="2C9DD19D" w14:textId="28D5B0F2" w:rsidR="00F3015C" w:rsidRPr="009B3FAF" w:rsidRDefault="00F3015C" w:rsidP="00435CBF">
      <w:pPr>
        <w:jc w:val="both"/>
        <w:rPr>
          <w:rFonts w:ascii="Arial" w:hAnsi="Arial" w:cs="Arial"/>
          <w:sz w:val="24"/>
          <w:szCs w:val="24"/>
          <w:highlight w:val="green"/>
        </w:rPr>
      </w:pPr>
      <w:r w:rsidRPr="009B3FAF">
        <w:rPr>
          <w:rFonts w:ascii="Arial" w:hAnsi="Arial" w:cs="Arial"/>
          <w:sz w:val="24"/>
          <w:szCs w:val="24"/>
          <w:highlight w:val="green"/>
        </w:rPr>
        <w:t>Výhra je podmíněna vylosováním určitého losu. Konkrétní způsob určení výhry a</w:t>
      </w:r>
      <w:r w:rsidR="008402FA" w:rsidRPr="009B3FAF">
        <w:rPr>
          <w:rFonts w:ascii="Arial" w:hAnsi="Arial" w:cs="Arial"/>
          <w:sz w:val="24"/>
          <w:szCs w:val="24"/>
          <w:highlight w:val="green"/>
        </w:rPr>
        <w:t> </w:t>
      </w:r>
      <w:r w:rsidRPr="009B3FAF">
        <w:rPr>
          <w:rFonts w:ascii="Arial" w:hAnsi="Arial" w:cs="Arial"/>
          <w:sz w:val="24"/>
          <w:szCs w:val="24"/>
          <w:highlight w:val="green"/>
        </w:rPr>
        <w:t>způsob slosování je upraven ve zvláštní části herního plánu ve vztahu ke každé jednotlivé věcné loterii. Slosování loterie se provádí veřejně za účasti loterní komise</w:t>
      </w:r>
    </w:p>
    <w:p w14:paraId="4EAB00CE" w14:textId="7D1E0B6F" w:rsidR="001A1888" w:rsidRPr="009B3FAF" w:rsidRDefault="00982ECF" w:rsidP="00435CBF">
      <w:pPr>
        <w:jc w:val="both"/>
        <w:rPr>
          <w:rFonts w:ascii="Arial" w:hAnsi="Arial" w:cs="Arial"/>
          <w:sz w:val="24"/>
          <w:szCs w:val="24"/>
          <w:highlight w:val="green"/>
        </w:rPr>
      </w:pPr>
      <w:r w:rsidRPr="009B3FAF">
        <w:rPr>
          <w:rFonts w:ascii="Arial" w:hAnsi="Arial" w:cs="Arial"/>
          <w:sz w:val="24"/>
          <w:szCs w:val="24"/>
          <w:highlight w:val="green"/>
        </w:rPr>
        <w:t>Okamžitá loterie</w:t>
      </w:r>
    </w:p>
    <w:p w14:paraId="5FF24FC0" w14:textId="62D96A42" w:rsidR="00CC0546" w:rsidRDefault="00F3015C" w:rsidP="00435CBF">
      <w:pPr>
        <w:jc w:val="both"/>
        <w:rPr>
          <w:rFonts w:ascii="Arial" w:hAnsi="Arial" w:cs="Arial"/>
          <w:sz w:val="24"/>
          <w:szCs w:val="24"/>
        </w:rPr>
      </w:pPr>
      <w:r w:rsidRPr="009B3FAF">
        <w:rPr>
          <w:rFonts w:ascii="Arial" w:hAnsi="Arial" w:cs="Arial"/>
          <w:sz w:val="24"/>
          <w:szCs w:val="24"/>
          <w:highlight w:val="green"/>
        </w:rPr>
        <w:t>V</w:t>
      </w:r>
      <w:r w:rsidR="00CC0546" w:rsidRPr="009B3FAF">
        <w:rPr>
          <w:rFonts w:ascii="Arial" w:hAnsi="Arial" w:cs="Arial"/>
          <w:sz w:val="24"/>
          <w:szCs w:val="24"/>
          <w:highlight w:val="green"/>
        </w:rPr>
        <w:t xml:space="preserve">ýhra </w:t>
      </w:r>
      <w:r w:rsidRPr="009B3FAF">
        <w:rPr>
          <w:rFonts w:ascii="Arial" w:hAnsi="Arial" w:cs="Arial"/>
          <w:sz w:val="24"/>
          <w:szCs w:val="24"/>
          <w:highlight w:val="green"/>
        </w:rPr>
        <w:t xml:space="preserve">je </w:t>
      </w:r>
      <w:r w:rsidR="00CC0546" w:rsidRPr="009B3FAF">
        <w:rPr>
          <w:rFonts w:ascii="Arial" w:hAnsi="Arial" w:cs="Arial"/>
          <w:sz w:val="24"/>
          <w:szCs w:val="24"/>
          <w:highlight w:val="green"/>
        </w:rPr>
        <w:t>podmíněna výherní kombinací po setření zakryté části losu. Konkrétní způsob zjištění okolností, jež určují výhru, jsou uvedeny ve zvláštní části herního plánu ve vztahu ke každé jednotlivé okamžité loterii.</w:t>
      </w:r>
    </w:p>
    <w:p w14:paraId="02B01E83" w14:textId="4D4D9E67" w:rsidR="005E0388" w:rsidRPr="00CF46E3" w:rsidRDefault="005E0388" w:rsidP="00CF46E3">
      <w:pPr>
        <w:pStyle w:val="Odstavecseseznamem"/>
        <w:numPr>
          <w:ilvl w:val="0"/>
          <w:numId w:val="1"/>
        </w:numPr>
        <w:jc w:val="both"/>
        <w:rPr>
          <w:rFonts w:ascii="Arial" w:hAnsi="Arial" w:cs="Arial"/>
          <w:b/>
          <w:sz w:val="24"/>
          <w:szCs w:val="24"/>
        </w:rPr>
      </w:pPr>
      <w:r w:rsidRPr="00CF46E3">
        <w:rPr>
          <w:rFonts w:ascii="Arial" w:hAnsi="Arial" w:cs="Arial"/>
          <w:b/>
          <w:sz w:val="24"/>
          <w:szCs w:val="24"/>
        </w:rPr>
        <w:t>Výše</w:t>
      </w:r>
      <w:r w:rsidR="00B3515D" w:rsidRPr="00CF46E3">
        <w:rPr>
          <w:rFonts w:ascii="Arial" w:hAnsi="Arial" w:cs="Arial"/>
          <w:b/>
          <w:sz w:val="24"/>
          <w:szCs w:val="24"/>
        </w:rPr>
        <w:t xml:space="preserve"> výhry nebo způsob jejího určení</w:t>
      </w:r>
    </w:p>
    <w:p w14:paraId="24C2AB51" w14:textId="27EF0DC3" w:rsidR="009B3FAF" w:rsidRDefault="009B3FAF" w:rsidP="00CF46E3">
      <w:pPr>
        <w:jc w:val="both"/>
        <w:rPr>
          <w:rFonts w:ascii="Arial" w:hAnsi="Arial" w:cs="Arial"/>
          <w:sz w:val="24"/>
          <w:szCs w:val="24"/>
        </w:rPr>
      </w:pPr>
      <w:r w:rsidRPr="009B3FAF">
        <w:rPr>
          <w:rFonts w:ascii="Arial" w:hAnsi="Arial" w:cs="Arial"/>
          <w:sz w:val="24"/>
          <w:szCs w:val="24"/>
          <w:highlight w:val="cyan"/>
        </w:rPr>
        <w:t>Provozovatel vybere pouze ty poddruhy loterií, které jsou předmětem jeho provozování.</w:t>
      </w:r>
    </w:p>
    <w:p w14:paraId="60E25FD8" w14:textId="375DCE5E" w:rsidR="00FC7EC2" w:rsidRPr="009B3FAF" w:rsidRDefault="00982ECF" w:rsidP="00CF46E3">
      <w:pPr>
        <w:jc w:val="both"/>
        <w:rPr>
          <w:rFonts w:ascii="Arial" w:hAnsi="Arial" w:cs="Arial"/>
          <w:sz w:val="24"/>
          <w:szCs w:val="24"/>
          <w:highlight w:val="green"/>
        </w:rPr>
      </w:pPr>
      <w:r w:rsidRPr="009B3FAF">
        <w:rPr>
          <w:rFonts w:ascii="Arial" w:hAnsi="Arial" w:cs="Arial"/>
          <w:sz w:val="24"/>
          <w:szCs w:val="24"/>
          <w:highlight w:val="green"/>
        </w:rPr>
        <w:t>Číselná loterie</w:t>
      </w:r>
    </w:p>
    <w:p w14:paraId="51BCDAEC" w14:textId="616CE7A0" w:rsidR="00FC7EC2" w:rsidRPr="009B3FAF" w:rsidRDefault="00FC7EC2" w:rsidP="00CF46E3">
      <w:pPr>
        <w:jc w:val="both"/>
        <w:rPr>
          <w:rFonts w:ascii="Arial" w:hAnsi="Arial" w:cs="Arial"/>
          <w:sz w:val="24"/>
          <w:szCs w:val="24"/>
          <w:highlight w:val="green"/>
        </w:rPr>
      </w:pPr>
      <w:r w:rsidRPr="009B3FAF">
        <w:rPr>
          <w:rFonts w:ascii="Arial" w:hAnsi="Arial" w:cs="Arial"/>
          <w:sz w:val="24"/>
          <w:szCs w:val="24"/>
          <w:highlight w:val="green"/>
        </w:rPr>
        <w:t>Konkrétní způsob určení výše výhry je upraven ve zvláštní části herního plánu ve vztahu ke každé jednotlivé loterii. Výhra se vypočítá podle počtu výherců nebo úhrnné výše sázek předem stanoveným podílem, nebo se stanoví násobkem sázky podle toho, jak z</w:t>
      </w:r>
      <w:r w:rsidR="00E5207B" w:rsidRPr="009B3FAF">
        <w:rPr>
          <w:rFonts w:ascii="Arial" w:hAnsi="Arial" w:cs="Arial"/>
          <w:sz w:val="24"/>
          <w:szCs w:val="24"/>
          <w:highlight w:val="green"/>
        </w:rPr>
        <w:t> omezeného počtu čísel tažených při slosování uhodl sázející ve zvláštní části herního plánu stanovený počet tažených čísel.</w:t>
      </w:r>
    </w:p>
    <w:p w14:paraId="29FEDB10" w14:textId="63DCB2D4" w:rsidR="00F3015C" w:rsidRPr="009B3FAF" w:rsidRDefault="00F3015C" w:rsidP="00CF46E3">
      <w:pPr>
        <w:jc w:val="both"/>
        <w:rPr>
          <w:rFonts w:ascii="Arial" w:hAnsi="Arial" w:cs="Arial"/>
          <w:sz w:val="24"/>
          <w:szCs w:val="24"/>
          <w:highlight w:val="green"/>
        </w:rPr>
      </w:pPr>
      <w:r w:rsidRPr="009B3FAF">
        <w:rPr>
          <w:rFonts w:ascii="Arial" w:hAnsi="Arial" w:cs="Arial"/>
          <w:sz w:val="24"/>
          <w:szCs w:val="24"/>
          <w:highlight w:val="green"/>
        </w:rPr>
        <w:t>Peněžitá</w:t>
      </w:r>
      <w:r w:rsidR="00982ECF" w:rsidRPr="009B3FAF">
        <w:rPr>
          <w:rFonts w:ascii="Arial" w:hAnsi="Arial" w:cs="Arial"/>
          <w:sz w:val="24"/>
          <w:szCs w:val="24"/>
          <w:highlight w:val="green"/>
        </w:rPr>
        <w:t xml:space="preserve"> loterie</w:t>
      </w:r>
    </w:p>
    <w:p w14:paraId="42D664EA" w14:textId="42D09696" w:rsidR="00F3015C" w:rsidRPr="009B3FAF" w:rsidRDefault="00F3015C" w:rsidP="00CF46E3">
      <w:pPr>
        <w:jc w:val="both"/>
        <w:rPr>
          <w:rFonts w:ascii="Arial" w:hAnsi="Arial" w:cs="Arial"/>
          <w:sz w:val="24"/>
          <w:szCs w:val="24"/>
          <w:highlight w:val="green"/>
        </w:rPr>
      </w:pPr>
      <w:r w:rsidRPr="009B3FAF">
        <w:rPr>
          <w:rFonts w:ascii="Arial" w:hAnsi="Arial" w:cs="Arial"/>
          <w:sz w:val="24"/>
          <w:szCs w:val="24"/>
          <w:highlight w:val="green"/>
        </w:rPr>
        <w:t>Konkrétní způsob určení výše výhry je upraven ve zvláštní části herního plánu ve vztahu ke každé jednotlivé loterii.</w:t>
      </w:r>
    </w:p>
    <w:p w14:paraId="572DDBFF" w14:textId="4415199E" w:rsidR="00F3015C" w:rsidRPr="009B3FAF" w:rsidRDefault="00982ECF" w:rsidP="00CF46E3">
      <w:pPr>
        <w:jc w:val="both"/>
        <w:rPr>
          <w:rFonts w:ascii="Arial" w:hAnsi="Arial" w:cs="Arial"/>
          <w:sz w:val="24"/>
          <w:szCs w:val="24"/>
          <w:highlight w:val="green"/>
        </w:rPr>
      </w:pPr>
      <w:r w:rsidRPr="009B3FAF">
        <w:rPr>
          <w:rFonts w:ascii="Arial" w:hAnsi="Arial" w:cs="Arial"/>
          <w:sz w:val="24"/>
          <w:szCs w:val="24"/>
          <w:highlight w:val="green"/>
        </w:rPr>
        <w:t>Věcná loterie</w:t>
      </w:r>
    </w:p>
    <w:p w14:paraId="78BBA13F" w14:textId="787A1A8A" w:rsidR="00F3015C" w:rsidRPr="009B3FAF" w:rsidRDefault="00F3015C" w:rsidP="00CF46E3">
      <w:pPr>
        <w:jc w:val="both"/>
        <w:rPr>
          <w:rFonts w:ascii="Arial" w:hAnsi="Arial" w:cs="Arial"/>
          <w:sz w:val="24"/>
          <w:szCs w:val="24"/>
          <w:highlight w:val="green"/>
        </w:rPr>
      </w:pPr>
      <w:r w:rsidRPr="009B3FAF">
        <w:rPr>
          <w:rFonts w:ascii="Arial" w:hAnsi="Arial" w:cs="Arial"/>
          <w:sz w:val="24"/>
          <w:szCs w:val="24"/>
          <w:highlight w:val="green"/>
        </w:rPr>
        <w:t>Výhra je určena v návaznosti na pořadí vylosování určitého losu</w:t>
      </w:r>
      <w:r w:rsidR="008364D7" w:rsidRPr="009B3FAF">
        <w:rPr>
          <w:rFonts w:ascii="Arial" w:hAnsi="Arial" w:cs="Arial"/>
          <w:sz w:val="24"/>
          <w:szCs w:val="24"/>
          <w:highlight w:val="green"/>
        </w:rPr>
        <w:t xml:space="preserve"> dle zvláštní části herního plánu ve vztahu ke každé jednotlivé loterii.</w:t>
      </w:r>
    </w:p>
    <w:p w14:paraId="45732353" w14:textId="5C03E294" w:rsidR="00FC7EC2" w:rsidRPr="009B3FAF" w:rsidRDefault="00982ECF" w:rsidP="00CF46E3">
      <w:pPr>
        <w:jc w:val="both"/>
        <w:rPr>
          <w:rFonts w:ascii="Arial" w:hAnsi="Arial" w:cs="Arial"/>
          <w:sz w:val="24"/>
          <w:szCs w:val="24"/>
          <w:highlight w:val="green"/>
        </w:rPr>
      </w:pPr>
      <w:r w:rsidRPr="009B3FAF">
        <w:rPr>
          <w:rFonts w:ascii="Arial" w:hAnsi="Arial" w:cs="Arial"/>
          <w:sz w:val="24"/>
          <w:szCs w:val="24"/>
          <w:highlight w:val="green"/>
        </w:rPr>
        <w:t>O</w:t>
      </w:r>
      <w:r w:rsidR="00FC7EC2" w:rsidRPr="009B3FAF">
        <w:rPr>
          <w:rFonts w:ascii="Arial" w:hAnsi="Arial" w:cs="Arial"/>
          <w:sz w:val="24"/>
          <w:szCs w:val="24"/>
          <w:highlight w:val="green"/>
        </w:rPr>
        <w:t xml:space="preserve">kamžitá </w:t>
      </w:r>
      <w:r w:rsidRPr="009B3FAF">
        <w:rPr>
          <w:rFonts w:ascii="Arial" w:hAnsi="Arial" w:cs="Arial"/>
          <w:sz w:val="24"/>
          <w:szCs w:val="24"/>
          <w:highlight w:val="green"/>
        </w:rPr>
        <w:t>loterie</w:t>
      </w:r>
    </w:p>
    <w:p w14:paraId="6D1F0DF4" w14:textId="6BCA0A49" w:rsidR="00FC7EC2" w:rsidRPr="00CF46E3" w:rsidRDefault="008364D7" w:rsidP="00CF46E3">
      <w:pPr>
        <w:jc w:val="both"/>
        <w:rPr>
          <w:rFonts w:ascii="Arial" w:hAnsi="Arial" w:cs="Arial"/>
          <w:sz w:val="24"/>
          <w:szCs w:val="24"/>
        </w:rPr>
      </w:pPr>
      <w:r w:rsidRPr="009B3FAF">
        <w:rPr>
          <w:rFonts w:ascii="Arial" w:hAnsi="Arial" w:cs="Arial"/>
          <w:sz w:val="24"/>
          <w:szCs w:val="24"/>
          <w:highlight w:val="green"/>
        </w:rPr>
        <w:t>Výše výhry je upravena ve zvláštní části herního plánu ve vztahu ke každé jednotlivé okamžité loterii.</w:t>
      </w:r>
    </w:p>
    <w:p w14:paraId="05C0993F" w14:textId="77777777" w:rsidR="00480318" w:rsidRPr="00CF46E3" w:rsidRDefault="005E0388" w:rsidP="00CF46E3">
      <w:pPr>
        <w:pStyle w:val="Odstavecseseznamem"/>
        <w:numPr>
          <w:ilvl w:val="0"/>
          <w:numId w:val="1"/>
        </w:numPr>
        <w:jc w:val="both"/>
        <w:rPr>
          <w:rFonts w:ascii="Arial" w:hAnsi="Arial" w:cs="Arial"/>
          <w:b/>
          <w:sz w:val="24"/>
          <w:szCs w:val="24"/>
        </w:rPr>
      </w:pPr>
      <w:r w:rsidRPr="00CF46E3">
        <w:rPr>
          <w:rFonts w:ascii="Arial" w:hAnsi="Arial" w:cs="Arial"/>
          <w:b/>
          <w:sz w:val="24"/>
          <w:szCs w:val="24"/>
        </w:rPr>
        <w:t>Způsob a lhůty pro výplatu výhry</w:t>
      </w:r>
    </w:p>
    <w:p w14:paraId="0F221AA0" w14:textId="5AC383AD" w:rsidR="00937E8C" w:rsidRPr="00CF46E3" w:rsidRDefault="00F15080" w:rsidP="00480318">
      <w:pPr>
        <w:jc w:val="both"/>
        <w:rPr>
          <w:rFonts w:ascii="Arial" w:hAnsi="Arial" w:cs="Arial"/>
          <w:sz w:val="24"/>
          <w:szCs w:val="24"/>
        </w:rPr>
      </w:pPr>
      <w:r>
        <w:rPr>
          <w:rFonts w:ascii="Arial" w:hAnsi="Arial" w:cs="Arial"/>
          <w:sz w:val="24"/>
          <w:szCs w:val="24"/>
        </w:rPr>
        <w:t>Provozovatel vyplatí výhru bez zbytečného odkladu, nejpozději do 30 dnů ode dne jejího vyhodnocení.</w:t>
      </w:r>
      <w:r w:rsidR="00AC1D7D" w:rsidRPr="00CF46E3">
        <w:rPr>
          <w:rFonts w:ascii="Arial" w:hAnsi="Arial" w:cs="Arial"/>
          <w:sz w:val="24"/>
          <w:szCs w:val="24"/>
        </w:rPr>
        <w:t xml:space="preserve"> </w:t>
      </w:r>
      <w:r w:rsidR="00AC1D7D" w:rsidRPr="00CF46E3" w:rsidDel="00AC1D7D">
        <w:rPr>
          <w:rFonts w:ascii="Arial" w:hAnsi="Arial" w:cs="Arial"/>
          <w:sz w:val="24"/>
          <w:szCs w:val="24"/>
        </w:rPr>
        <w:t xml:space="preserve"> </w:t>
      </w:r>
    </w:p>
    <w:p w14:paraId="2B30910E" w14:textId="56B39445" w:rsidR="00F15080" w:rsidRDefault="00F15080" w:rsidP="00F15080">
      <w:pPr>
        <w:jc w:val="both"/>
        <w:rPr>
          <w:rFonts w:ascii="Arial" w:hAnsi="Arial" w:cs="Arial"/>
          <w:i/>
          <w:sz w:val="24"/>
          <w:szCs w:val="24"/>
        </w:rPr>
      </w:pPr>
      <w:r>
        <w:rPr>
          <w:rFonts w:ascii="Arial" w:hAnsi="Arial" w:cs="Arial"/>
          <w:sz w:val="24"/>
          <w:szCs w:val="24"/>
        </w:rPr>
        <w:lastRenderedPageBreak/>
        <w:t>Je-li předmětem výhry hmotná věc, služba nebo peněžní prostředky jako renta, zaeviduje provozovatel tuto výhru na uživatelské konto.</w:t>
      </w:r>
      <w:r w:rsidRPr="0057398B">
        <w:rPr>
          <w:rFonts w:ascii="Arial" w:hAnsi="Arial" w:cs="Arial"/>
          <w:sz w:val="24"/>
          <w:szCs w:val="24"/>
        </w:rPr>
        <w:t xml:space="preserve"> </w:t>
      </w:r>
      <w:r w:rsidRPr="0057398B">
        <w:rPr>
          <w:rFonts w:ascii="Arial" w:hAnsi="Arial" w:cs="Arial"/>
          <w:sz w:val="24"/>
          <w:szCs w:val="24"/>
          <w:highlight w:val="cyan"/>
        </w:rPr>
        <w:t>(Dále provozovatel uvede podrobnější popis způsobu předání takto získané výhry.)</w:t>
      </w:r>
    </w:p>
    <w:p w14:paraId="1127C2A1" w14:textId="682D873D" w:rsidR="00AE4E29" w:rsidRDefault="00AE4E29" w:rsidP="00F15080">
      <w:pPr>
        <w:jc w:val="both"/>
        <w:rPr>
          <w:rFonts w:ascii="Arial" w:hAnsi="Arial" w:cs="Arial"/>
          <w:sz w:val="24"/>
          <w:szCs w:val="24"/>
        </w:rPr>
      </w:pPr>
      <w:r w:rsidRPr="00AE7C40">
        <w:rPr>
          <w:rFonts w:ascii="Arial" w:hAnsi="Arial" w:cs="Arial"/>
          <w:sz w:val="24"/>
          <w:szCs w:val="24"/>
        </w:rPr>
        <w:t>Výplata peněžních prostředků z </w:t>
      </w:r>
      <w:r w:rsidRPr="00A75DF2">
        <w:rPr>
          <w:rFonts w:ascii="Arial" w:hAnsi="Arial" w:cs="Arial"/>
          <w:sz w:val="24"/>
          <w:szCs w:val="24"/>
        </w:rPr>
        <w:t xml:space="preserve">uživatelského </w:t>
      </w:r>
      <w:r w:rsidRPr="002C5BE1">
        <w:rPr>
          <w:rFonts w:ascii="Arial" w:hAnsi="Arial" w:cs="Arial"/>
          <w:sz w:val="24"/>
          <w:szCs w:val="24"/>
        </w:rPr>
        <w:t xml:space="preserve">konta bude provedena bezúplatně </w:t>
      </w:r>
      <w:r w:rsidRPr="00F04D25">
        <w:rPr>
          <w:rFonts w:ascii="Arial" w:hAnsi="Arial" w:cs="Arial"/>
          <w:sz w:val="24"/>
          <w:szCs w:val="24"/>
        </w:rPr>
        <w:t xml:space="preserve">na základě žádosti účastníka hazardní hry, a to na všech místech, </w:t>
      </w:r>
      <w:r w:rsidRPr="00AE7C40">
        <w:rPr>
          <w:rFonts w:ascii="Arial" w:hAnsi="Arial" w:cs="Arial"/>
          <w:sz w:val="24"/>
          <w:szCs w:val="24"/>
        </w:rPr>
        <w:t>kde jsou přijímány vklady peněžních prostředků na uživatelské konto</w:t>
      </w:r>
      <w:r w:rsidR="00AE7C40" w:rsidRPr="00CF46E3">
        <w:rPr>
          <w:rFonts w:ascii="Arial" w:hAnsi="Arial" w:cs="Arial"/>
          <w:sz w:val="24"/>
          <w:szCs w:val="24"/>
        </w:rPr>
        <w:t xml:space="preserve"> </w:t>
      </w:r>
      <w:r w:rsidR="00AE7C40" w:rsidRPr="0057398B">
        <w:rPr>
          <w:rFonts w:ascii="Arial" w:hAnsi="Arial" w:cs="Arial"/>
          <w:sz w:val="24"/>
          <w:szCs w:val="24"/>
          <w:highlight w:val="cyan"/>
        </w:rPr>
        <w:t>(pro loteri</w:t>
      </w:r>
      <w:r w:rsidR="0057398B">
        <w:rPr>
          <w:rFonts w:ascii="Arial" w:hAnsi="Arial" w:cs="Arial"/>
          <w:sz w:val="24"/>
          <w:szCs w:val="24"/>
          <w:highlight w:val="cyan"/>
        </w:rPr>
        <w:t>i</w:t>
      </w:r>
      <w:r w:rsidR="00AE7C40" w:rsidRPr="0057398B">
        <w:rPr>
          <w:rFonts w:ascii="Arial" w:hAnsi="Arial" w:cs="Arial"/>
          <w:sz w:val="24"/>
          <w:szCs w:val="24"/>
          <w:highlight w:val="cyan"/>
        </w:rPr>
        <w:t xml:space="preserve"> může provozovatel přiměřeně stanovit omezení podle §17j ZHH)</w:t>
      </w:r>
      <w:r w:rsidRPr="0057398B">
        <w:rPr>
          <w:rFonts w:ascii="Arial" w:hAnsi="Arial" w:cs="Arial"/>
          <w:sz w:val="24"/>
          <w:szCs w:val="24"/>
          <w:highlight w:val="cyan"/>
        </w:rPr>
        <w:t>.</w:t>
      </w:r>
      <w:r w:rsidRPr="00AE7C40">
        <w:rPr>
          <w:rFonts w:ascii="Arial" w:hAnsi="Arial" w:cs="Arial"/>
          <w:sz w:val="24"/>
          <w:szCs w:val="24"/>
        </w:rPr>
        <w:t xml:space="preserve"> Výplata bude provedena bezodkladně, z omluvitelného důvodu nejpozději do 60 dnů ode dne, kdy žádost provozovatel obdržel.</w:t>
      </w:r>
    </w:p>
    <w:p w14:paraId="35AA125E" w14:textId="4364D0E4" w:rsidR="002178A2" w:rsidRDefault="002178A2" w:rsidP="00F15080">
      <w:pPr>
        <w:jc w:val="both"/>
        <w:rPr>
          <w:rFonts w:ascii="Arial" w:hAnsi="Arial" w:cs="Arial"/>
          <w:sz w:val="24"/>
          <w:szCs w:val="24"/>
        </w:rPr>
      </w:pPr>
      <w:r w:rsidRPr="00843732">
        <w:rPr>
          <w:rFonts w:ascii="Arial" w:hAnsi="Arial" w:cs="Arial"/>
          <w:sz w:val="24"/>
          <w:szCs w:val="24"/>
          <w:highlight w:val="cyan"/>
        </w:rPr>
        <w:t>Pokud provozovatel provozuje loterii, kde jsou předmětem výhry peněžní prostředky vyplácené jako renta, uvede následující formulaci:</w:t>
      </w:r>
      <w:r>
        <w:rPr>
          <w:rFonts w:ascii="Arial" w:hAnsi="Arial" w:cs="Arial"/>
          <w:sz w:val="24"/>
          <w:szCs w:val="24"/>
        </w:rPr>
        <w:t xml:space="preserve"> </w:t>
      </w:r>
      <w:r w:rsidRPr="00843732">
        <w:rPr>
          <w:rFonts w:ascii="Arial" w:hAnsi="Arial" w:cs="Arial"/>
          <w:sz w:val="24"/>
          <w:szCs w:val="24"/>
          <w:highlight w:val="yellow"/>
        </w:rPr>
        <w:t xml:space="preserve">Pokud jsou předmětem výhry peněžní prostředky vyplacené jako renta, jsou složeny do úschovy všechny peněžní prostředky, které mají být takto vypláceny. Všechny peněžní prostředky složené do úschovy budou účastníkovi hazardní hry vyplaceny, pokud o to požádá, </w:t>
      </w:r>
      <w:r w:rsidR="00F0591D">
        <w:rPr>
          <w:rFonts w:ascii="Arial" w:hAnsi="Arial" w:cs="Arial"/>
          <w:sz w:val="24"/>
          <w:szCs w:val="24"/>
          <w:highlight w:val="yellow"/>
        </w:rPr>
        <w:t xml:space="preserve">a </w:t>
      </w:r>
      <w:r w:rsidRPr="00843732">
        <w:rPr>
          <w:rFonts w:ascii="Arial" w:hAnsi="Arial" w:cs="Arial"/>
          <w:sz w:val="24"/>
          <w:szCs w:val="24"/>
          <w:highlight w:val="yellow"/>
        </w:rPr>
        <w:t>to bezodkladně, z omluvitelného důvodu nejpozději do 60 dnů od žádosti účastníka hazardní hry.</w:t>
      </w:r>
    </w:p>
    <w:p w14:paraId="2B9297E1" w14:textId="77777777" w:rsidR="0057398B" w:rsidRPr="00DC302C" w:rsidRDefault="0057398B" w:rsidP="0057398B">
      <w:pPr>
        <w:pStyle w:val="Odstavecseseznamem"/>
        <w:numPr>
          <w:ilvl w:val="0"/>
          <w:numId w:val="1"/>
        </w:numPr>
        <w:jc w:val="both"/>
        <w:rPr>
          <w:rFonts w:ascii="Arial" w:hAnsi="Arial" w:cs="Arial"/>
          <w:b/>
          <w:sz w:val="24"/>
          <w:szCs w:val="24"/>
        </w:rPr>
      </w:pPr>
      <w:r w:rsidRPr="00DC302C">
        <w:rPr>
          <w:rFonts w:ascii="Arial" w:hAnsi="Arial" w:cs="Arial"/>
          <w:b/>
          <w:sz w:val="24"/>
          <w:szCs w:val="24"/>
        </w:rPr>
        <w:t>Další informace</w:t>
      </w:r>
    </w:p>
    <w:p w14:paraId="77F9C749" w14:textId="486ACE49" w:rsidR="00FB3A5A" w:rsidRPr="00FB3A5A" w:rsidRDefault="00FB3A5A" w:rsidP="0057398B">
      <w:pPr>
        <w:jc w:val="both"/>
        <w:rPr>
          <w:rFonts w:ascii="Arial" w:hAnsi="Arial" w:cs="Arial"/>
          <w:sz w:val="24"/>
          <w:szCs w:val="24"/>
        </w:rPr>
      </w:pPr>
      <w:r w:rsidRPr="00FB3A5A">
        <w:rPr>
          <w:rFonts w:ascii="Arial" w:hAnsi="Arial" w:cs="Arial"/>
          <w:sz w:val="24"/>
          <w:szCs w:val="24"/>
        </w:rPr>
        <w:t xml:space="preserve">Herní měnou je </w:t>
      </w:r>
      <w:r w:rsidRPr="00FB3A5A">
        <w:rPr>
          <w:rFonts w:ascii="Arial" w:hAnsi="Arial" w:cs="Arial"/>
          <w:sz w:val="24"/>
          <w:szCs w:val="24"/>
          <w:highlight w:val="cyan"/>
        </w:rPr>
        <w:t xml:space="preserve">provozovatel uvede veškeré herní měny, ve kterých bude provozovat </w:t>
      </w:r>
      <w:r w:rsidR="00AA622E">
        <w:rPr>
          <w:rFonts w:ascii="Arial" w:hAnsi="Arial" w:cs="Arial"/>
          <w:sz w:val="24"/>
          <w:szCs w:val="24"/>
          <w:highlight w:val="cyan"/>
        </w:rPr>
        <w:t xml:space="preserve">internetové </w:t>
      </w:r>
      <w:r w:rsidR="0057772F">
        <w:rPr>
          <w:rFonts w:ascii="Arial" w:hAnsi="Arial" w:cs="Arial"/>
          <w:sz w:val="24"/>
          <w:szCs w:val="24"/>
          <w:highlight w:val="cyan"/>
        </w:rPr>
        <w:t>loterie</w:t>
      </w:r>
      <w:r w:rsidRPr="00FB3A5A">
        <w:rPr>
          <w:rFonts w:ascii="Arial" w:hAnsi="Arial" w:cs="Arial"/>
          <w:sz w:val="24"/>
          <w:szCs w:val="24"/>
          <w:highlight w:val="cyan"/>
        </w:rPr>
        <w:t>.</w:t>
      </w:r>
    </w:p>
    <w:p w14:paraId="1A137572" w14:textId="0E262F61" w:rsidR="00EC1038" w:rsidRPr="00EC1038" w:rsidRDefault="0057398B" w:rsidP="006D6FC9">
      <w:pPr>
        <w:jc w:val="both"/>
        <w:rPr>
          <w:rFonts w:ascii="Arial" w:hAnsi="Arial" w:cs="Arial"/>
          <w:sz w:val="24"/>
          <w:szCs w:val="24"/>
        </w:rPr>
      </w:pPr>
      <w:r w:rsidRPr="00130E5B">
        <w:rPr>
          <w:rFonts w:ascii="Arial" w:hAnsi="Arial" w:cs="Arial"/>
          <w:sz w:val="24"/>
          <w:szCs w:val="24"/>
          <w:highlight w:val="cyan"/>
        </w:rPr>
        <w:t>V této části může žadatel uvést další obecné informace, které se dotýkají daného druhu hazardní hry a jejího provozování, a které je nutné uvádět v herním plánu. Neuvádí se informace či pravidla, která vyplývají přímo ze zákona</w:t>
      </w:r>
      <w:r w:rsidR="006D6FC9">
        <w:rPr>
          <w:rFonts w:ascii="Arial" w:hAnsi="Arial" w:cs="Arial"/>
          <w:sz w:val="24"/>
          <w:szCs w:val="24"/>
          <w:highlight w:val="cyan"/>
        </w:rPr>
        <w:t>.</w:t>
      </w:r>
    </w:p>
    <w:sectPr w:rsidR="00EC1038" w:rsidRPr="00EC1038" w:rsidSect="00A604FC">
      <w:footerReference w:type="default" r:id="rId8"/>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18008" w14:textId="77777777" w:rsidR="00E14848" w:rsidRDefault="002C2011">
      <w:pPr>
        <w:spacing w:after="0" w:line="240" w:lineRule="auto"/>
      </w:pPr>
      <w:r>
        <w:separator/>
      </w:r>
    </w:p>
  </w:endnote>
  <w:endnote w:type="continuationSeparator" w:id="0">
    <w:p w14:paraId="2F508AC7" w14:textId="77777777" w:rsidR="00E14848" w:rsidRDefault="002C20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8909778"/>
      <w:docPartObj>
        <w:docPartGallery w:val="Page Numbers (Bottom of Page)"/>
        <w:docPartUnique/>
      </w:docPartObj>
    </w:sdtPr>
    <w:sdtEndPr/>
    <w:sdtContent>
      <w:p w14:paraId="7CA02183" w14:textId="723E4733" w:rsidR="00FB3A5A" w:rsidRDefault="00DB6622">
        <w:pPr>
          <w:pStyle w:val="Zpat"/>
          <w:jc w:val="center"/>
        </w:pPr>
        <w:r>
          <w:fldChar w:fldCharType="begin"/>
        </w:r>
        <w:r>
          <w:instrText>PAGE   \* MERGEFORMAT</w:instrText>
        </w:r>
        <w:r>
          <w:fldChar w:fldCharType="separate"/>
        </w:r>
        <w:r w:rsidR="00AA622E">
          <w:rPr>
            <w:noProof/>
          </w:rPr>
          <w:t>4</w:t>
        </w:r>
        <w:r>
          <w:fldChar w:fldCharType="end"/>
        </w:r>
      </w:p>
    </w:sdtContent>
  </w:sdt>
  <w:p w14:paraId="2632A038" w14:textId="77777777" w:rsidR="00FB3A5A" w:rsidRDefault="00FB3A5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A0C16" w14:textId="77777777" w:rsidR="00E14848" w:rsidRDefault="002C2011">
      <w:pPr>
        <w:spacing w:after="0" w:line="240" w:lineRule="auto"/>
      </w:pPr>
      <w:r>
        <w:separator/>
      </w:r>
    </w:p>
  </w:footnote>
  <w:footnote w:type="continuationSeparator" w:id="0">
    <w:p w14:paraId="1C193BBC" w14:textId="77777777" w:rsidR="00E14848" w:rsidRDefault="002C20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280B"/>
    <w:multiLevelType w:val="multilevel"/>
    <w:tmpl w:val="73924AD4"/>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CD60EA9"/>
    <w:multiLevelType w:val="hybridMultilevel"/>
    <w:tmpl w:val="09D212B8"/>
    <w:lvl w:ilvl="0" w:tplc="9EDA819E">
      <w:numFmt w:val="bullet"/>
      <w:lvlText w:val="-"/>
      <w:lvlJc w:val="left"/>
      <w:pPr>
        <w:ind w:left="720" w:hanging="360"/>
      </w:pPr>
      <w:rPr>
        <w:rFonts w:ascii="Arial" w:eastAsiaTheme="minorHAnsi" w:hAnsi="Arial" w:cs="Arial" w:hint="default"/>
        <w:i w:val="0"/>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76F4213"/>
    <w:multiLevelType w:val="hybridMultilevel"/>
    <w:tmpl w:val="E0247FB2"/>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 w15:restartNumberingAfterBreak="0">
    <w:nsid w:val="1D6C5C31"/>
    <w:multiLevelType w:val="hybridMultilevel"/>
    <w:tmpl w:val="3B34C7D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2A386E88"/>
    <w:multiLevelType w:val="hybridMultilevel"/>
    <w:tmpl w:val="3648F6F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51810F69"/>
    <w:multiLevelType w:val="hybridMultilevel"/>
    <w:tmpl w:val="9F74AB98"/>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6" w15:restartNumberingAfterBreak="0">
    <w:nsid w:val="52945047"/>
    <w:multiLevelType w:val="hybridMultilevel"/>
    <w:tmpl w:val="D8C21E7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57830D71"/>
    <w:multiLevelType w:val="hybridMultilevel"/>
    <w:tmpl w:val="B93EFEF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num w:numId="1" w16cid:durableId="1184442168">
    <w:abstractNumId w:val="2"/>
  </w:num>
  <w:num w:numId="2" w16cid:durableId="708795683">
    <w:abstractNumId w:val="0"/>
  </w:num>
  <w:num w:numId="3" w16cid:durableId="1880707537">
    <w:abstractNumId w:val="7"/>
  </w:num>
  <w:num w:numId="4" w16cid:durableId="381290974">
    <w:abstractNumId w:val="1"/>
  </w:num>
  <w:num w:numId="5" w16cid:durableId="270086609">
    <w:abstractNumId w:val="4"/>
  </w:num>
  <w:num w:numId="6" w16cid:durableId="478811572">
    <w:abstractNumId w:val="5"/>
  </w:num>
  <w:num w:numId="7" w16cid:durableId="2069180047">
    <w:abstractNumId w:val="6"/>
  </w:num>
  <w:num w:numId="8" w16cid:durableId="14340123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E2D"/>
    <w:rsid w:val="000140CA"/>
    <w:rsid w:val="00033F4C"/>
    <w:rsid w:val="00037C98"/>
    <w:rsid w:val="000424B0"/>
    <w:rsid w:val="00073689"/>
    <w:rsid w:val="0009548A"/>
    <w:rsid w:val="000A4284"/>
    <w:rsid w:val="000B091E"/>
    <w:rsid w:val="0011270C"/>
    <w:rsid w:val="00115FAE"/>
    <w:rsid w:val="001226A6"/>
    <w:rsid w:val="0013334B"/>
    <w:rsid w:val="0014173D"/>
    <w:rsid w:val="00144ED9"/>
    <w:rsid w:val="001534AA"/>
    <w:rsid w:val="00155EDD"/>
    <w:rsid w:val="00163E2E"/>
    <w:rsid w:val="001709C6"/>
    <w:rsid w:val="00176538"/>
    <w:rsid w:val="00180F7B"/>
    <w:rsid w:val="00185904"/>
    <w:rsid w:val="00185EA2"/>
    <w:rsid w:val="001A1888"/>
    <w:rsid w:val="001A2E1B"/>
    <w:rsid w:val="001B677C"/>
    <w:rsid w:val="001C548E"/>
    <w:rsid w:val="001F6746"/>
    <w:rsid w:val="001F7C41"/>
    <w:rsid w:val="00202C94"/>
    <w:rsid w:val="00212B57"/>
    <w:rsid w:val="002178A2"/>
    <w:rsid w:val="00224AD7"/>
    <w:rsid w:val="00234453"/>
    <w:rsid w:val="00246630"/>
    <w:rsid w:val="00255A62"/>
    <w:rsid w:val="00287F61"/>
    <w:rsid w:val="00293441"/>
    <w:rsid w:val="00297E2D"/>
    <w:rsid w:val="002A5435"/>
    <w:rsid w:val="002B2A21"/>
    <w:rsid w:val="002B6EEA"/>
    <w:rsid w:val="002C2011"/>
    <w:rsid w:val="002C51EA"/>
    <w:rsid w:val="002C5BE1"/>
    <w:rsid w:val="002F0FDB"/>
    <w:rsid w:val="00320726"/>
    <w:rsid w:val="00325A02"/>
    <w:rsid w:val="00334EF2"/>
    <w:rsid w:val="003466CD"/>
    <w:rsid w:val="0035014F"/>
    <w:rsid w:val="00350BE9"/>
    <w:rsid w:val="00385C64"/>
    <w:rsid w:val="0039754C"/>
    <w:rsid w:val="003B258B"/>
    <w:rsid w:val="003B7C1F"/>
    <w:rsid w:val="003C36FE"/>
    <w:rsid w:val="003D6C60"/>
    <w:rsid w:val="003E733E"/>
    <w:rsid w:val="004010AE"/>
    <w:rsid w:val="004115B5"/>
    <w:rsid w:val="004203BC"/>
    <w:rsid w:val="0042275B"/>
    <w:rsid w:val="00435CBF"/>
    <w:rsid w:val="0045501B"/>
    <w:rsid w:val="00462CFF"/>
    <w:rsid w:val="00470094"/>
    <w:rsid w:val="004748F9"/>
    <w:rsid w:val="00480318"/>
    <w:rsid w:val="00482E77"/>
    <w:rsid w:val="00495955"/>
    <w:rsid w:val="004967A1"/>
    <w:rsid w:val="004A1839"/>
    <w:rsid w:val="004A6F09"/>
    <w:rsid w:val="004D3EED"/>
    <w:rsid w:val="004F19EB"/>
    <w:rsid w:val="004F3861"/>
    <w:rsid w:val="004F41D9"/>
    <w:rsid w:val="00512AFF"/>
    <w:rsid w:val="00525B9E"/>
    <w:rsid w:val="00533588"/>
    <w:rsid w:val="00534117"/>
    <w:rsid w:val="00542375"/>
    <w:rsid w:val="005429FF"/>
    <w:rsid w:val="00567270"/>
    <w:rsid w:val="00572DF2"/>
    <w:rsid w:val="0057398B"/>
    <w:rsid w:val="0057772F"/>
    <w:rsid w:val="005938F6"/>
    <w:rsid w:val="005961C5"/>
    <w:rsid w:val="005963C2"/>
    <w:rsid w:val="005B2DC9"/>
    <w:rsid w:val="005D4758"/>
    <w:rsid w:val="005E0388"/>
    <w:rsid w:val="005E37E9"/>
    <w:rsid w:val="005F6CEE"/>
    <w:rsid w:val="005F787E"/>
    <w:rsid w:val="00610EBB"/>
    <w:rsid w:val="00611A13"/>
    <w:rsid w:val="00614262"/>
    <w:rsid w:val="006364A4"/>
    <w:rsid w:val="0064402A"/>
    <w:rsid w:val="006463B9"/>
    <w:rsid w:val="00650709"/>
    <w:rsid w:val="00651A88"/>
    <w:rsid w:val="00651F9D"/>
    <w:rsid w:val="00685EA2"/>
    <w:rsid w:val="006863F9"/>
    <w:rsid w:val="0069609E"/>
    <w:rsid w:val="006B41E3"/>
    <w:rsid w:val="006D6FC9"/>
    <w:rsid w:val="006E5BCC"/>
    <w:rsid w:val="006F0EA9"/>
    <w:rsid w:val="006F3C51"/>
    <w:rsid w:val="006F55B0"/>
    <w:rsid w:val="00702E2C"/>
    <w:rsid w:val="0072363C"/>
    <w:rsid w:val="00723DD3"/>
    <w:rsid w:val="007263EC"/>
    <w:rsid w:val="0074740C"/>
    <w:rsid w:val="007817DC"/>
    <w:rsid w:val="007917DA"/>
    <w:rsid w:val="007A3DF7"/>
    <w:rsid w:val="007A64E7"/>
    <w:rsid w:val="007D0920"/>
    <w:rsid w:val="007D2A3F"/>
    <w:rsid w:val="007E5EA3"/>
    <w:rsid w:val="00816F12"/>
    <w:rsid w:val="00817086"/>
    <w:rsid w:val="00821416"/>
    <w:rsid w:val="008347CD"/>
    <w:rsid w:val="008364D7"/>
    <w:rsid w:val="008402FA"/>
    <w:rsid w:val="008472E8"/>
    <w:rsid w:val="0086089A"/>
    <w:rsid w:val="00880CD7"/>
    <w:rsid w:val="00881FEC"/>
    <w:rsid w:val="008832B7"/>
    <w:rsid w:val="00893E86"/>
    <w:rsid w:val="00896D72"/>
    <w:rsid w:val="008D19B3"/>
    <w:rsid w:val="008E76C1"/>
    <w:rsid w:val="009241B2"/>
    <w:rsid w:val="00926050"/>
    <w:rsid w:val="00927E45"/>
    <w:rsid w:val="00937311"/>
    <w:rsid w:val="00937E8C"/>
    <w:rsid w:val="00960CF1"/>
    <w:rsid w:val="00977FEC"/>
    <w:rsid w:val="00982ECF"/>
    <w:rsid w:val="009843DE"/>
    <w:rsid w:val="009A62C7"/>
    <w:rsid w:val="009B3FAF"/>
    <w:rsid w:val="009D59B1"/>
    <w:rsid w:val="009D7C7F"/>
    <w:rsid w:val="009E4581"/>
    <w:rsid w:val="00A0202D"/>
    <w:rsid w:val="00A04278"/>
    <w:rsid w:val="00A05C9C"/>
    <w:rsid w:val="00A069F4"/>
    <w:rsid w:val="00A0754B"/>
    <w:rsid w:val="00A1675A"/>
    <w:rsid w:val="00A20349"/>
    <w:rsid w:val="00A4197A"/>
    <w:rsid w:val="00A50766"/>
    <w:rsid w:val="00A604FC"/>
    <w:rsid w:val="00A708D3"/>
    <w:rsid w:val="00A75DF2"/>
    <w:rsid w:val="00AA4B02"/>
    <w:rsid w:val="00AA622E"/>
    <w:rsid w:val="00AC1D7D"/>
    <w:rsid w:val="00AC3E98"/>
    <w:rsid w:val="00AE4E29"/>
    <w:rsid w:val="00AE5565"/>
    <w:rsid w:val="00AE75E0"/>
    <w:rsid w:val="00AE7C40"/>
    <w:rsid w:val="00AE7DF8"/>
    <w:rsid w:val="00AF343C"/>
    <w:rsid w:val="00AF6BC0"/>
    <w:rsid w:val="00B06591"/>
    <w:rsid w:val="00B17576"/>
    <w:rsid w:val="00B3189D"/>
    <w:rsid w:val="00B3515D"/>
    <w:rsid w:val="00B656E3"/>
    <w:rsid w:val="00B73D75"/>
    <w:rsid w:val="00B824B2"/>
    <w:rsid w:val="00B82E82"/>
    <w:rsid w:val="00B83936"/>
    <w:rsid w:val="00B90238"/>
    <w:rsid w:val="00B946F6"/>
    <w:rsid w:val="00BA6D5B"/>
    <w:rsid w:val="00BC2BEB"/>
    <w:rsid w:val="00BC2D62"/>
    <w:rsid w:val="00BD0FA9"/>
    <w:rsid w:val="00BE24D5"/>
    <w:rsid w:val="00BF047E"/>
    <w:rsid w:val="00C4247C"/>
    <w:rsid w:val="00C75E75"/>
    <w:rsid w:val="00C76FA9"/>
    <w:rsid w:val="00C80C23"/>
    <w:rsid w:val="00C87045"/>
    <w:rsid w:val="00CB1260"/>
    <w:rsid w:val="00CB41C5"/>
    <w:rsid w:val="00CB6C84"/>
    <w:rsid w:val="00CC0546"/>
    <w:rsid w:val="00CC62F9"/>
    <w:rsid w:val="00CE5FD1"/>
    <w:rsid w:val="00CF2AAF"/>
    <w:rsid w:val="00CF46E3"/>
    <w:rsid w:val="00D02526"/>
    <w:rsid w:val="00D42A73"/>
    <w:rsid w:val="00D872F5"/>
    <w:rsid w:val="00D904FA"/>
    <w:rsid w:val="00D9288C"/>
    <w:rsid w:val="00DB5B77"/>
    <w:rsid w:val="00DB6622"/>
    <w:rsid w:val="00DC302C"/>
    <w:rsid w:val="00DC5127"/>
    <w:rsid w:val="00DC5249"/>
    <w:rsid w:val="00DD285F"/>
    <w:rsid w:val="00DD5AC6"/>
    <w:rsid w:val="00DE237A"/>
    <w:rsid w:val="00DE2934"/>
    <w:rsid w:val="00E11597"/>
    <w:rsid w:val="00E14848"/>
    <w:rsid w:val="00E35E43"/>
    <w:rsid w:val="00E4462C"/>
    <w:rsid w:val="00E51691"/>
    <w:rsid w:val="00E5207B"/>
    <w:rsid w:val="00E6646C"/>
    <w:rsid w:val="00E85EAC"/>
    <w:rsid w:val="00E944B7"/>
    <w:rsid w:val="00E94BAA"/>
    <w:rsid w:val="00EA49FC"/>
    <w:rsid w:val="00EA6166"/>
    <w:rsid w:val="00EC0D57"/>
    <w:rsid w:val="00EC1038"/>
    <w:rsid w:val="00ED13F9"/>
    <w:rsid w:val="00EF2818"/>
    <w:rsid w:val="00EF5E9C"/>
    <w:rsid w:val="00F04D25"/>
    <w:rsid w:val="00F0591D"/>
    <w:rsid w:val="00F15080"/>
    <w:rsid w:val="00F15407"/>
    <w:rsid w:val="00F3015C"/>
    <w:rsid w:val="00F56FF3"/>
    <w:rsid w:val="00F63695"/>
    <w:rsid w:val="00F92C76"/>
    <w:rsid w:val="00FB3A5A"/>
    <w:rsid w:val="00FC7512"/>
    <w:rsid w:val="00FC7EC2"/>
    <w:rsid w:val="00FE6374"/>
    <w:rsid w:val="00FF4BDD"/>
    <w:rsid w:val="00FF7FD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73C441"/>
  <w15:chartTrackingRefBased/>
  <w15:docId w15:val="{C1BAF938-94F4-41FE-87C4-B352C4032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37E8C"/>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542375"/>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542375"/>
    <w:rPr>
      <w:rFonts w:ascii="Segoe UI" w:hAnsi="Segoe UI" w:cs="Segoe UI"/>
      <w:sz w:val="18"/>
      <w:szCs w:val="18"/>
    </w:rPr>
  </w:style>
  <w:style w:type="paragraph" w:styleId="Odstavecseseznamem">
    <w:name w:val="List Paragraph"/>
    <w:basedOn w:val="Normln"/>
    <w:uiPriority w:val="34"/>
    <w:qFormat/>
    <w:rsid w:val="00937E8C"/>
    <w:pPr>
      <w:ind w:left="720"/>
      <w:contextualSpacing/>
    </w:pPr>
  </w:style>
  <w:style w:type="character" w:styleId="Odkaznakoment">
    <w:name w:val="annotation reference"/>
    <w:basedOn w:val="Standardnpsmoodstavce"/>
    <w:uiPriority w:val="99"/>
    <w:semiHidden/>
    <w:unhideWhenUsed/>
    <w:rsid w:val="00BE24D5"/>
    <w:rPr>
      <w:sz w:val="16"/>
      <w:szCs w:val="16"/>
    </w:rPr>
  </w:style>
  <w:style w:type="paragraph" w:styleId="Textkomente">
    <w:name w:val="annotation text"/>
    <w:basedOn w:val="Normln"/>
    <w:link w:val="TextkomenteChar"/>
    <w:uiPriority w:val="99"/>
    <w:semiHidden/>
    <w:unhideWhenUsed/>
    <w:rsid w:val="00BE24D5"/>
    <w:pPr>
      <w:spacing w:line="240" w:lineRule="auto"/>
    </w:pPr>
    <w:rPr>
      <w:sz w:val="20"/>
      <w:szCs w:val="20"/>
    </w:rPr>
  </w:style>
  <w:style w:type="character" w:customStyle="1" w:styleId="TextkomenteChar">
    <w:name w:val="Text komentáře Char"/>
    <w:basedOn w:val="Standardnpsmoodstavce"/>
    <w:link w:val="Textkomente"/>
    <w:uiPriority w:val="99"/>
    <w:semiHidden/>
    <w:rsid w:val="00BE24D5"/>
    <w:rPr>
      <w:sz w:val="20"/>
      <w:szCs w:val="20"/>
    </w:rPr>
  </w:style>
  <w:style w:type="paragraph" w:styleId="Pedmtkomente">
    <w:name w:val="annotation subject"/>
    <w:basedOn w:val="Textkomente"/>
    <w:next w:val="Textkomente"/>
    <w:link w:val="PedmtkomenteChar"/>
    <w:uiPriority w:val="99"/>
    <w:semiHidden/>
    <w:unhideWhenUsed/>
    <w:rsid w:val="00BE24D5"/>
    <w:rPr>
      <w:b/>
      <w:bCs/>
    </w:rPr>
  </w:style>
  <w:style w:type="character" w:customStyle="1" w:styleId="PedmtkomenteChar">
    <w:name w:val="Předmět komentáře Char"/>
    <w:basedOn w:val="TextkomenteChar"/>
    <w:link w:val="Pedmtkomente"/>
    <w:uiPriority w:val="99"/>
    <w:semiHidden/>
    <w:rsid w:val="00BE24D5"/>
    <w:rPr>
      <w:b/>
      <w:bCs/>
      <w:sz w:val="20"/>
      <w:szCs w:val="20"/>
    </w:rPr>
  </w:style>
  <w:style w:type="paragraph" w:styleId="Revize">
    <w:name w:val="Revision"/>
    <w:hidden/>
    <w:uiPriority w:val="99"/>
    <w:semiHidden/>
    <w:rsid w:val="00AE75E0"/>
    <w:pPr>
      <w:spacing w:after="0" w:line="240" w:lineRule="auto"/>
    </w:pPr>
  </w:style>
  <w:style w:type="paragraph" w:styleId="Zpat">
    <w:name w:val="footer"/>
    <w:basedOn w:val="Normln"/>
    <w:link w:val="ZpatChar"/>
    <w:uiPriority w:val="99"/>
    <w:unhideWhenUsed/>
    <w:rsid w:val="0057398B"/>
    <w:pPr>
      <w:tabs>
        <w:tab w:val="center" w:pos="4536"/>
        <w:tab w:val="right" w:pos="9072"/>
      </w:tabs>
      <w:spacing w:after="0" w:line="240" w:lineRule="auto"/>
    </w:pPr>
  </w:style>
  <w:style w:type="character" w:customStyle="1" w:styleId="ZpatChar">
    <w:name w:val="Zápatí Char"/>
    <w:basedOn w:val="Standardnpsmoodstavce"/>
    <w:link w:val="Zpat"/>
    <w:uiPriority w:val="99"/>
    <w:rsid w:val="0057398B"/>
  </w:style>
  <w:style w:type="table" w:styleId="Mkatabulky">
    <w:name w:val="Table Grid"/>
    <w:basedOn w:val="Normlntabulka"/>
    <w:uiPriority w:val="39"/>
    <w:rsid w:val="00B94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448E7-E55D-4FAE-AB18-AA6396924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4</Pages>
  <Words>1190</Words>
  <Characters>7027</Characters>
  <Application>Microsoft Office Word</Application>
  <DocSecurity>0</DocSecurity>
  <Lines>58</Lines>
  <Paragraphs>16</Paragraphs>
  <ScaleCrop>false</ScaleCrop>
  <HeadingPairs>
    <vt:vector size="2" baseType="variant">
      <vt:variant>
        <vt:lpstr>Název</vt:lpstr>
      </vt:variant>
      <vt:variant>
        <vt:i4>1</vt:i4>
      </vt:variant>
    </vt:vector>
  </HeadingPairs>
  <TitlesOfParts>
    <vt:vector size="1" baseType="lpstr">
      <vt:lpstr/>
    </vt:vector>
  </TitlesOfParts>
  <Company>Ministerstvo financí</Company>
  <LinksUpToDate>false</LinksUpToDate>
  <CharactersWithSpaces>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Mašková Barbora</dc:creator>
  <cp:keywords/>
  <dc:description/>
  <cp:lastModifiedBy>Mašková Barbora</cp:lastModifiedBy>
  <cp:revision>46</cp:revision>
  <cp:lastPrinted>2023-07-11T14:36:00Z</cp:lastPrinted>
  <dcterms:created xsi:type="dcterms:W3CDTF">2023-09-11T08:50:00Z</dcterms:created>
  <dcterms:modified xsi:type="dcterms:W3CDTF">2025-12-17T11:22:00Z</dcterms:modified>
</cp:coreProperties>
</file>