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</w:t>
            </w:r>
            <w:r w:rsidRPr="00C3087C">
              <w:rPr>
                <w:rFonts w:ascii="Arial" w:hAnsi="Arial" w:cs="Arial"/>
                <w:b/>
                <w:szCs w:val="20"/>
              </w:rPr>
              <w:t>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C3087C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C3087C">
              <w:rPr>
                <w:rFonts w:ascii="Arial" w:hAnsi="Arial" w:cs="Arial"/>
                <w:b/>
                <w:szCs w:val="20"/>
              </w:rPr>
              <w:t>FM 85, ekonomický expert/ekonomická expertka v oddělení Souhrnné rozpočtové vztahy (2101), v odboru Státní rozpočet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C3087C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C3087C">
              <w:rPr>
                <w:rFonts w:ascii="Arial" w:hAnsi="Arial" w:cs="Arial"/>
                <w:b/>
                <w:szCs w:val="20"/>
              </w:rPr>
              <w:t>FM 85, ekonomický expert/ekonomická expertka v oddělení Souhrnné rozpočtové vztahy (2101), v odboru Státní rozpočet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C3087C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8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4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