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E183D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</w:t>
            </w:r>
            <w:r w:rsidRPr="00EC3A32">
              <w:rPr>
                <w:rFonts w:ascii="Arial" w:hAnsi="Arial" w:cs="Arial"/>
                <w:b/>
                <w:szCs w:val="20"/>
              </w:rPr>
              <w:t>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EC3A32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2E183D" w:rsidR="002E183D">
              <w:rPr>
                <w:rFonts w:ascii="Arial" w:hAnsi="Arial" w:cs="Arial"/>
                <w:b/>
                <w:szCs w:val="20"/>
              </w:rPr>
              <w:t>FM 217, rozpočtář/rozpočtářka v oddělení Financování zahraničních věcí, spravedlnosti, dalších rozpočtových kapitol a politických stran a hnutí, v odboru Rozpočtová politika společensky významných odvětví</w:t>
            </w:r>
            <w:r w:rsidR="002E183D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2E183D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</w:t>
            </w:r>
            <w:r w:rsidRPr="00EC3A32">
              <w:rPr>
                <w:rFonts w:ascii="Arial" w:hAnsi="Arial" w:cs="Arial"/>
                <w:b/>
                <w:szCs w:val="20"/>
              </w:rPr>
              <w:t xml:space="preserve">služební místo </w:t>
            </w:r>
            <w:r w:rsidRPr="002E183D" w:rsidR="002E183D">
              <w:rPr>
                <w:rFonts w:ascii="Arial" w:hAnsi="Arial" w:cs="Arial"/>
                <w:b/>
                <w:szCs w:val="20"/>
              </w:rPr>
              <w:t xml:space="preserve">FM 217, rozpočtář/rozpočtářka v oddělení Financování zahraničních věcí, spravedlnosti, dalších rozpočtových kapitol </w:t>
            </w:r>
            <w:r w:rsidR="002E183D">
              <w:rPr>
                <w:rFonts w:ascii="Arial" w:hAnsi="Arial" w:cs="Arial"/>
                <w:b/>
                <w:szCs w:val="20"/>
              </w:rPr>
              <w:br/>
            </w:r>
            <w:r w:rsidRPr="002E183D" w:rsidR="002E183D">
              <w:rPr>
                <w:rFonts w:ascii="Arial" w:hAnsi="Arial" w:cs="Arial"/>
                <w:b/>
                <w:szCs w:val="20"/>
              </w:rPr>
              <w:t>a politických stran a hnutí, v odboru Rozpočtová politika společensky významných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2E183D">
        <w:tblPrEx>
          <w:tblW w:w="9048" w:type="dxa"/>
          <w:tblLook w:val="04A0"/>
        </w:tblPrEx>
        <w:trPr>
          <w:trHeight w:val="398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9E3EA2">
        <w:tblPrEx>
          <w:tblW w:w="9048" w:type="dxa"/>
          <w:tblLook w:val="04A0"/>
        </w:tblPrEx>
        <w:trPr>
          <w:trHeight w:val="418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9E3EA2">
        <w:tblPrEx>
          <w:tblW w:w="9048" w:type="dxa"/>
          <w:tblLook w:val="04A0"/>
        </w:tblPrEx>
        <w:trPr>
          <w:trHeight w:val="409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Tr="002E183D">
        <w:tblPrEx>
          <w:tblW w:w="9048" w:type="dxa"/>
          <w:tblLook w:val="04A0"/>
        </w:tblPrEx>
        <w:trPr>
          <w:trHeight w:val="418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EC3A32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 w:rsidR="00EC3A32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1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EC3A32">
        <w:rPr>
          <w:rFonts w:ascii="Times New Roman" w:hAnsi="Times New Roman" w:cs="Times New Roman"/>
        </w:rPr>
        <w:t xml:space="preserve">vzdělání Ekonomie nebo </w:t>
      </w:r>
      <w:r w:rsidR="002E183D">
        <w:rPr>
          <w:rFonts w:ascii="Times New Roman" w:hAnsi="Times New Roman" w:cs="Times New Roman"/>
        </w:rPr>
        <w:t>Technické vědy a nauky</w:t>
      </w:r>
      <w:r w:rsidRPr="00EC3A32">
        <w:rPr>
          <w:rFonts w:ascii="Times New Roman" w:hAnsi="Times New Roman" w:cs="Times New Roman"/>
        </w:rPr>
        <w:t>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1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0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3"/>
      </w:tblGrid>
      <w:tr w:rsidTr="00EC3A32">
        <w:tblPrEx>
          <w:tblW w:w="920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2"/>
        </w:trPr>
        <w:tc>
          <w:tcPr>
            <w:tcW w:w="920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EC3A32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C3A32">
        <w:tblPrEx>
          <w:tblW w:w="9199" w:type="dxa"/>
          <w:tblLook w:val="04A0"/>
        </w:tblPrEx>
        <w:trPr>
          <w:trHeight w:val="2221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C3A32">
        <w:tblPrEx>
          <w:tblW w:w="9301" w:type="dxa"/>
          <w:tblLook w:val="04A0"/>
        </w:tblPrEx>
        <w:trPr>
          <w:trHeight w:val="1746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C3A32">
        <w:tblPrEx>
          <w:tblW w:w="9076" w:type="dxa"/>
          <w:tblLook w:val="04A0"/>
        </w:tblPrEx>
        <w:trPr>
          <w:trHeight w:val="2027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EC3A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4EC1-CC49-47CC-86D0-D7AA9F9F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Pages>4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