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9A28CB" w:rsidP="009A28CB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8CB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9A28CB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9A28CB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9A28CB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9A28CB">
              <w:rPr>
                <w:rFonts w:ascii="Arial" w:hAnsi="Arial" w:cs="Arial"/>
                <w:b/>
                <w:szCs w:val="20"/>
              </w:rPr>
              <w:t>633</w:t>
            </w:r>
            <w:r w:rsidRPr="009A28CB" w:rsidR="00D30536">
              <w:rPr>
                <w:rFonts w:ascii="Arial" w:hAnsi="Arial" w:cs="Arial"/>
                <w:b/>
                <w:szCs w:val="20"/>
              </w:rPr>
              <w:t>,</w:t>
            </w:r>
            <w:r w:rsidRPr="009A28CB">
              <w:rPr>
                <w:rFonts w:ascii="Arial" w:hAnsi="Arial" w:cs="Arial"/>
                <w:b/>
                <w:szCs w:val="20"/>
              </w:rPr>
              <w:t xml:space="preserve"> </w:t>
            </w:r>
            <w:r w:rsidRPr="009A28CB">
              <w:rPr>
                <w:rFonts w:ascii="Arial" w:hAnsi="Arial" w:cs="Arial"/>
                <w:b/>
                <w:szCs w:val="20"/>
              </w:rPr>
              <w:t>analytik/analytička strukturálních politik</w:t>
            </w:r>
            <w:r w:rsidRPr="009A28CB">
              <w:rPr>
                <w:rFonts w:ascii="Arial" w:hAnsi="Arial" w:cs="Arial"/>
                <w:b/>
                <w:szCs w:val="20"/>
              </w:rPr>
              <w:t xml:space="preserve"> </w:t>
            </w:r>
            <w:r w:rsidRPr="009A28CB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9A28CB">
              <w:rPr>
                <w:rFonts w:ascii="Arial" w:hAnsi="Arial" w:cs="Arial"/>
                <w:b/>
                <w:szCs w:val="20"/>
              </w:rPr>
              <w:t>Ekonomické analýzy strukturálních politik</w:t>
            </w:r>
            <w:r w:rsidRPr="009A28CB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9A28CB">
              <w:rPr>
                <w:rFonts w:ascii="Arial" w:hAnsi="Arial" w:cs="Arial"/>
                <w:b/>
                <w:szCs w:val="20"/>
              </w:rPr>
              <w:t>Hospodářská politika</w:t>
            </w:r>
          </w:p>
        </w:tc>
        <w:tc>
          <w:tcPr>
            <w:tcW w:w="273" w:type="dxa"/>
            <w:vAlign w:val="center"/>
          </w:tcPr>
          <w:p w:rsidR="00211961" w:rsidRPr="009A28CB" w:rsidP="00211961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9A28CB" w:rsidP="009A28CB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28CB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9A28CB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9A28CB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9A28CB">
              <w:rPr>
                <w:rFonts w:ascii="Arial" w:hAnsi="Arial" w:cs="Arial"/>
                <w:b/>
                <w:szCs w:val="20"/>
              </w:rPr>
              <w:t>FM 633, analytik/analytička strukturálních politik v odd. Ekonomické analýzy strukturálních politik, v odboru Hospodářská politika</w:t>
            </w:r>
          </w:p>
        </w:tc>
        <w:tc>
          <w:tcPr>
            <w:tcW w:w="273" w:type="dxa"/>
            <w:vAlign w:val="center"/>
          </w:tcPr>
          <w:p w:rsidR="00211961" w:rsidRPr="009A28CB" w:rsidP="00211961">
            <w:pPr>
              <w:jc w:val="center"/>
              <w:rPr>
                <w:rFonts w:ascii="Arial" w:hAnsi="Arial" w:cs="Arial"/>
                <w:b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9A28CB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</w:t>
      </w:r>
      <w:r w:rsidRPr="009A28CB">
        <w:rPr>
          <w:rFonts w:ascii="Times New Roman" w:hAnsi="Times New Roman" w:cs="Times New Roman"/>
        </w:rPr>
        <w:t xml:space="preserve">/a vysokoškolského magisterského vzdělání stanoveného zákonem o státní službě pro služební místo </w:t>
      </w:r>
      <w:r w:rsidRPr="009A28CB" w:rsidR="00AE3AD9">
        <w:rPr>
          <w:rFonts w:ascii="Times New Roman" w:hAnsi="Times New Roman" w:cs="Times New Roman"/>
        </w:rPr>
        <w:t>v oboru</w:t>
      </w:r>
      <w:r w:rsidRPr="009A28CB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9A28CB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9A28CB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9A28CB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8CB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9A28CB">
        <w:rPr>
          <w:rFonts w:ascii="Times New Roman" w:hAnsi="Times New Roman" w:cs="Times New Roman"/>
        </w:rPr>
        <w:t xml:space="preserve"> odborného zaměření vzdělání Ekonomie</w:t>
      </w:r>
      <w:r w:rsidRPr="009A28CB">
        <w:rPr>
          <w:rFonts w:ascii="Times New Roman" w:hAnsi="Times New Roman" w:cs="Times New Roman"/>
        </w:rPr>
        <w:t xml:space="preserve"> nebo </w:t>
      </w:r>
      <w:r w:rsidRPr="009A28CB">
        <w:rPr>
          <w:rFonts w:ascii="Times New Roman" w:hAnsi="Times New Roman" w:cs="Times New Roman"/>
        </w:rPr>
        <w:t>Matematické obory</w:t>
      </w:r>
      <w:r w:rsidRPr="009A28CB">
        <w:rPr>
          <w:rFonts w:ascii="Times New Roman" w:hAnsi="Times New Roman" w:cs="Times New Roman"/>
        </w:rPr>
        <w:t>.</w:t>
      </w:r>
    </w:p>
    <w:p w:rsidR="00D30536" w:rsidRPr="00D226F2" w:rsidP="009A28C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28CB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9A28CB">
        <w:rPr>
          <w:rFonts w:ascii="Times New Roman" w:hAnsi="Times New Roman" w:cs="Times New Roman"/>
        </w:rPr>
        <w:t xml:space="preserve"> úrovně znalosti cizího jazyka</w:t>
      </w:r>
      <w:r w:rsidRPr="009A28CB" w:rsidR="00AE3AD9">
        <w:rPr>
          <w:rFonts w:ascii="Times New Roman" w:hAnsi="Times New Roman" w:cs="Times New Roman"/>
        </w:rPr>
        <w:t xml:space="preserve"> anglického odpovídající alespoň 2. úrovni</w:t>
      </w:r>
      <w:r w:rsidRPr="00AE3AD9" w:rsidR="00AE3A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(bez certifikátu</w:t>
      </w:r>
      <w:bookmarkEnd w:id="0"/>
      <w:r>
        <w:rPr>
          <w:rFonts w:ascii="Times New Roman" w:hAnsi="Times New Roman" w:cs="Times New Roman"/>
        </w:rPr>
        <w:t>)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9A28C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9A28CB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9A28CB">
      <w:pPr>
        <w:spacing w:after="0"/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Tr="009A28CB">
        <w:tblPrEx>
          <w:tblW w:w="0" w:type="auto"/>
          <w:tblLook w:val="04A0"/>
        </w:tblPrEx>
        <w:trPr>
          <w:trHeight w:val="1432"/>
        </w:trPr>
        <w:tc>
          <w:tcPr>
            <w:tcW w:w="9016" w:type="dxa"/>
            <w:shd w:val="clear" w:color="auto" w:fill="D7E6F5"/>
            <w:vAlign w:val="center"/>
          </w:tcPr>
          <w:p w:rsidR="007B19A0" w:rsidRPr="006A231C" w:rsidP="009A28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9A28CB">
      <w:pPr>
        <w:spacing w:after="0"/>
      </w:pPr>
    </w:p>
    <w:p w:rsidR="00EA2F3C" w:rsidP="009A28CB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9A28CB">
      <w:pPr>
        <w:spacing w:after="0"/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72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72"/>
      </w:tblGrid>
      <w:tr w:rsidTr="009A28CB">
        <w:tblPrEx>
          <w:tblW w:w="9172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64"/>
        </w:trPr>
        <w:tc>
          <w:tcPr>
            <w:tcW w:w="9172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A28CB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9A28CB" w:rsidRPr="009A28CB" w:rsidP="009A28CB">
      <w:pPr>
        <w:spacing w:after="0"/>
      </w:pP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