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F4267E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t>2429</w:t>
            </w:r>
            <w:r w:rsidRPr="00F4267E" w:rsidR="00D30536">
              <w:rPr>
                <w:rFonts w:ascii="Arial" w:hAnsi="Arial" w:cs="Arial"/>
                <w:b/>
                <w:szCs w:val="20"/>
              </w:rPr>
              <w:t>,</w:t>
            </w:r>
            <w:r w:rsidRPr="00F4267E">
              <w:rPr>
                <w:rFonts w:ascii="Arial" w:hAnsi="Arial" w:cs="Arial"/>
                <w:b/>
                <w:szCs w:val="20"/>
              </w:rPr>
              <w:t xml:space="preserve">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t>metodik/metodička</w:t>
            </w:r>
            <w:r w:rsidRPr="00F4267E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t>Evidence majetku a pokladní služba</w:t>
            </w:r>
            <w:r w:rsidRPr="00F4267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t>Finanční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t xml:space="preserve">FM 2429, metodik/metodička </w:t>
            </w:r>
            <w:r w:rsidRPr="00F4267E" w:rsidR="00F4267E">
              <w:rPr>
                <w:rFonts w:ascii="Arial" w:hAnsi="Arial" w:cs="Arial"/>
                <w:b/>
                <w:szCs w:val="20"/>
              </w:rPr>
              <w:br/>
            </w:r>
            <w:r w:rsidRPr="00F4267E" w:rsidR="00F4267E">
              <w:rPr>
                <w:rFonts w:ascii="Arial" w:hAnsi="Arial" w:cs="Arial"/>
                <w:b/>
                <w:szCs w:val="20"/>
              </w:rPr>
              <w:t>v odd. Evidence majetku a pokladní služba, v odboru Finanční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C51BF5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B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