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653A32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653A32" w:rsidR="006E0A6A">
              <w:rPr>
                <w:rFonts w:ascii="Arial" w:hAnsi="Arial" w:cs="Arial"/>
                <w:b/>
                <w:szCs w:val="20"/>
              </w:rPr>
              <w:t>3743</w:t>
            </w:r>
            <w:r w:rsidRPr="00653A32" w:rsidR="00D30536">
              <w:rPr>
                <w:rFonts w:ascii="Arial" w:hAnsi="Arial" w:cs="Arial"/>
                <w:b/>
                <w:szCs w:val="20"/>
              </w:rPr>
              <w:t>,</w:t>
            </w:r>
            <w:r w:rsidRPr="00653A32">
              <w:rPr>
                <w:rFonts w:ascii="Arial" w:hAnsi="Arial" w:cs="Arial"/>
                <w:b/>
                <w:szCs w:val="20"/>
              </w:rPr>
              <w:t xml:space="preserve"> </w:t>
            </w:r>
            <w:r w:rsidRPr="00FE02D1">
              <w:rPr>
                <w:rFonts w:ascii="Arial" w:hAnsi="Arial" w:cs="Arial"/>
                <w:b/>
                <w:szCs w:val="20"/>
              </w:rPr>
              <w:t xml:space="preserve">analytik financování udržitelnosti/analytička financování udržitelnosti </w:t>
            </w:r>
            <w:r w:rsidRPr="00653A32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653A32" w:rsidR="006E0A6A">
              <w:rPr>
                <w:rFonts w:ascii="Arial" w:hAnsi="Arial" w:cs="Arial"/>
                <w:b/>
                <w:szCs w:val="20"/>
              </w:rPr>
              <w:t>Financování udržitelnosti</w:t>
            </w:r>
            <w:r w:rsidRPr="00653A32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653A32" w:rsidR="006E0A6A">
              <w:rPr>
                <w:rFonts w:ascii="Arial" w:hAnsi="Arial" w:cs="Arial"/>
                <w:b/>
                <w:szCs w:val="20"/>
              </w:rPr>
              <w:t>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653A32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653A32" w:rsidR="006E0A6A">
              <w:rPr>
                <w:rFonts w:ascii="Arial" w:hAnsi="Arial" w:cs="Arial"/>
                <w:b/>
                <w:szCs w:val="20"/>
              </w:rPr>
              <w:t>3743</w:t>
            </w:r>
            <w:r w:rsidRPr="00653A32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FE02D1">
              <w:rPr>
                <w:rFonts w:ascii="Arial" w:hAnsi="Arial" w:cs="Arial"/>
                <w:b/>
                <w:szCs w:val="20"/>
              </w:rPr>
              <w:t xml:space="preserve">analytik financování udržitelnosti/analytička financování udržitelnosti </w:t>
            </w:r>
            <w:r w:rsidRPr="00653A32" w:rsidR="00DC7055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653A32" w:rsidR="006E0A6A">
              <w:rPr>
                <w:rFonts w:ascii="Arial" w:hAnsi="Arial" w:cs="Arial"/>
                <w:b/>
                <w:szCs w:val="20"/>
              </w:rPr>
              <w:t>Financování udržitelnosti</w:t>
            </w:r>
            <w:r w:rsidRPr="00653A32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653A32" w:rsidR="006E0A6A">
              <w:rPr>
                <w:rFonts w:ascii="Arial" w:hAnsi="Arial" w:cs="Arial"/>
                <w:b/>
                <w:szCs w:val="20"/>
              </w:rPr>
              <w:t>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653A32">
        <w:rPr>
          <w:rFonts w:ascii="Times New Roman" w:hAnsi="Times New Roman" w:cs="Times New Roman"/>
        </w:rPr>
        <w:t xml:space="preserve">a vysokoškolského magisterského vzdělání stanoveného zákonem o státní službě pro služební místo </w:t>
      </w:r>
      <w:r w:rsidRPr="00653A32" w:rsidR="00AE3AD9">
        <w:rPr>
          <w:rFonts w:ascii="Times New Roman" w:hAnsi="Times New Roman" w:cs="Times New Roman"/>
        </w:rPr>
        <w:t>v oboru</w:t>
      </w:r>
      <w:r w:rsidRPr="00653A32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9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99"/>
      </w:tblGrid>
      <w:tr w:rsidTr="006E0A6A">
        <w:tblPrEx>
          <w:tblW w:w="909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4"/>
        </w:trPr>
        <w:tc>
          <w:tcPr>
            <w:tcW w:w="909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