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466BD" w:rsidRPr="00D3455E">
      <w:pPr>
        <w:rPr>
          <w:rFonts w:ascii="Calibri" w:hAnsi="Calibri"/>
          <w:b/>
          <w:sz w:val="28"/>
          <w:szCs w:val="28"/>
        </w:rPr>
      </w:pPr>
      <w:r w:rsidRPr="00D3455E">
        <w:rPr>
          <w:rFonts w:ascii="Calibri" w:hAnsi="Calibri"/>
          <w:b/>
          <w:sz w:val="28"/>
          <w:szCs w:val="28"/>
        </w:rPr>
        <w:t>Ostatní místní vládní instituce</w:t>
      </w:r>
    </w:p>
    <w:p w:rsidR="00902C1E" w:rsidRPr="0040465C" w:rsidP="00902C1E">
      <w:pPr>
        <w:spacing w:after="120"/>
        <w:jc w:val="right"/>
        <w:rPr>
          <w:rFonts w:ascii="Calibri" w:hAnsi="Calibri" w:cs="Calibri"/>
          <w:b/>
          <w:sz w:val="28"/>
          <w:szCs w:val="28"/>
        </w:rPr>
      </w:pPr>
      <w:r w:rsidRPr="0040465C">
        <w:rPr>
          <w:rFonts w:ascii="Calibri" w:eastAsia="Calibri" w:hAnsi="Calibri"/>
          <w:i/>
          <w:sz w:val="20"/>
          <w:szCs w:val="20"/>
          <w:lang w:eastAsia="en-US"/>
        </w:rPr>
        <w:t xml:space="preserve">Poslední aktualizace: </w:t>
      </w:r>
      <w:r w:rsidR="00904311">
        <w:rPr>
          <w:rFonts w:ascii="Calibri" w:eastAsia="Calibri" w:hAnsi="Calibri"/>
          <w:i/>
          <w:sz w:val="20"/>
          <w:szCs w:val="20"/>
          <w:lang w:eastAsia="en-US"/>
        </w:rPr>
        <w:t>31.</w:t>
      </w:r>
      <w:r w:rsidRPr="00673C28">
        <w:rPr>
          <w:rFonts w:ascii="Calibri" w:eastAsia="Calibri" w:hAnsi="Calibri"/>
          <w:i/>
          <w:sz w:val="20"/>
          <w:szCs w:val="20"/>
          <w:lang w:eastAsia="en-US"/>
        </w:rPr>
        <w:t xml:space="preserve"> 3. 20</w:t>
      </w:r>
      <w:r w:rsidRPr="00673C28" w:rsidR="001422CD">
        <w:rPr>
          <w:rFonts w:ascii="Calibri" w:eastAsia="Calibri" w:hAnsi="Calibri"/>
          <w:i/>
          <w:sz w:val="20"/>
          <w:szCs w:val="20"/>
          <w:lang w:eastAsia="en-US"/>
        </w:rPr>
        <w:t>2</w:t>
      </w:r>
      <w:r w:rsidR="00CE5D50">
        <w:rPr>
          <w:rFonts w:ascii="Calibri" w:eastAsia="Calibri" w:hAnsi="Calibri"/>
          <w:i/>
          <w:sz w:val="20"/>
          <w:szCs w:val="20"/>
          <w:lang w:eastAsia="en-US"/>
        </w:rPr>
        <w:t>3</w:t>
      </w:r>
    </w:p>
    <w:p w:rsidR="00902C1E" w:rsidRPr="0040465C" w:rsidP="0040465C">
      <w:pPr>
        <w:pBdr>
          <w:top w:val="single" w:sz="4" w:space="1" w:color="auto"/>
          <w:bottom w:val="single" w:sz="4" w:space="1" w:color="auto"/>
        </w:pBdr>
        <w:jc w:val="both"/>
        <w:rPr>
          <w:rFonts w:ascii="Calibri" w:hAnsi="Calibri" w:cs="Calibri"/>
        </w:rPr>
      </w:pPr>
      <w:r w:rsidRPr="0040465C">
        <w:rPr>
          <w:rFonts w:ascii="Calibri" w:hAnsi="Calibri" w:cs="Calibri"/>
        </w:rPr>
        <w:t xml:space="preserve">Tabulka: </w:t>
      </w:r>
      <w:r w:rsidRPr="0040465C" w:rsidR="0040465C">
        <w:rPr>
          <w:rFonts w:ascii="Calibri" w:hAnsi="Calibri" w:cs="Calibri"/>
        </w:rPr>
        <w:t>Výnosové a nákladové transakce, saldo ostatních jednotek zařazených do S.1313 (čtvrtletní)</w:t>
      </w:r>
    </w:p>
    <w:p w:rsidR="00790E26" w:rsidRPr="00037956" w:rsidP="00790E26">
      <w:pPr>
        <w:jc w:val="both"/>
        <w:rPr>
          <w:rFonts w:ascii="Calibri" w:hAnsi="Calibri"/>
          <w:sz w:val="20"/>
          <w:szCs w:val="20"/>
        </w:rPr>
      </w:pPr>
    </w:p>
    <w:p w:rsidR="003466BD" w:rsidRPr="0040465C">
      <w:pPr>
        <w:rPr>
          <w:rFonts w:ascii="Calibri" w:hAnsi="Calibri"/>
          <w:b/>
        </w:rPr>
      </w:pPr>
      <w:r w:rsidRPr="0040465C">
        <w:rPr>
          <w:rFonts w:ascii="Calibri" w:hAnsi="Calibri"/>
          <w:b/>
        </w:rPr>
        <w:t>Pokrytí:</w:t>
      </w:r>
    </w:p>
    <w:p w:rsidR="00B56B11" w:rsidRPr="00ED1997" w:rsidP="005D7844">
      <w:pPr>
        <w:jc w:val="both"/>
        <w:rPr>
          <w:rFonts w:ascii="Calibri" w:hAnsi="Calibri"/>
          <w:sz w:val="20"/>
          <w:szCs w:val="20"/>
        </w:rPr>
      </w:pPr>
      <w:r w:rsidRPr="00774FF7">
        <w:rPr>
          <w:rFonts w:ascii="Calibri" w:hAnsi="Calibri"/>
          <w:sz w:val="20"/>
          <w:szCs w:val="20"/>
        </w:rPr>
        <w:t xml:space="preserve">Jedná se o organizace, které jsou součástí místní vlády (S.1313), avšak nepředávají výkazy do Centrálního systému účetních informací státu. Aktuálně je v této skupině evidováno </w:t>
      </w:r>
      <w:r w:rsidRPr="00774FF7" w:rsidR="00533CB4">
        <w:rPr>
          <w:rFonts w:ascii="Calibri" w:hAnsi="Calibri"/>
          <w:sz w:val="20"/>
          <w:szCs w:val="20"/>
        </w:rPr>
        <w:t>7</w:t>
      </w:r>
      <w:r w:rsidR="002D2B4F">
        <w:rPr>
          <w:rFonts w:ascii="Calibri" w:hAnsi="Calibri"/>
          <w:sz w:val="20"/>
          <w:szCs w:val="20"/>
        </w:rPr>
        <w:t>5</w:t>
      </w:r>
      <w:r w:rsidRPr="00774FF7" w:rsidR="00617A80">
        <w:rPr>
          <w:rFonts w:ascii="Calibri" w:hAnsi="Calibri"/>
          <w:sz w:val="20"/>
          <w:szCs w:val="20"/>
        </w:rPr>
        <w:t xml:space="preserve"> </w:t>
      </w:r>
      <w:r w:rsidRPr="00774FF7">
        <w:rPr>
          <w:rFonts w:ascii="Calibri" w:hAnsi="Calibri"/>
          <w:sz w:val="20"/>
          <w:szCs w:val="20"/>
        </w:rPr>
        <w:t>organizací:</w:t>
      </w:r>
      <w:r w:rsidRPr="00774FF7" w:rsidR="00E26BCB">
        <w:rPr>
          <w:rFonts w:ascii="Calibri" w:hAnsi="Calibri"/>
          <w:sz w:val="20"/>
          <w:szCs w:val="20"/>
        </w:rPr>
        <w:t xml:space="preserve"> </w:t>
      </w:r>
      <w:r w:rsidRPr="00774FF7" w:rsidR="008D2FB5">
        <w:rPr>
          <w:rFonts w:ascii="Calibri" w:hAnsi="Calibri"/>
          <w:sz w:val="20"/>
          <w:szCs w:val="20"/>
        </w:rPr>
        <w:t>Základní škola a Mateřská škola Bez hranic, Sociální služby Běchovice, z.ú.,</w:t>
      </w:r>
      <w:r w:rsidRPr="00774FF7">
        <w:rPr>
          <w:rFonts w:ascii="Calibri" w:hAnsi="Calibri"/>
          <w:sz w:val="20"/>
          <w:szCs w:val="20"/>
        </w:rPr>
        <w:t xml:space="preserve"> </w:t>
      </w:r>
      <w:r w:rsidRPr="00774FF7" w:rsidR="001422CD">
        <w:rPr>
          <w:rFonts w:ascii="Calibri" w:hAnsi="Calibri"/>
          <w:sz w:val="20"/>
          <w:szCs w:val="20"/>
        </w:rPr>
        <w:t>Nadační fond Galerie Smečky, Sociální služby SOVY obecně prospěšná společnost, Plzeňská filharmonie, obecně prospěšná společnost, Renarkon, o. p. s., JIZERSKÁ, o.p.s., INFOCENTRUM MĚSTA Karlovy Vary, o.p.s., Naučné středisko ekologické výchovy Kladno - Čabárna, o.p.s., Česko - francouzská akademie Telč, o.p. s., ANIMA ČÁSLAV, o.p.s., Centrum sociálních a zdravotních služeb Poděbrady o.p.s., FILHARMONIE Hradec Králové o.p.s., Divadlo Drak a Mezinárodní institut figurálního divadla o.p.s., KLICPEROVO DIVADLO o.p.s., Okresní pečovatelská služba Nové Strašecí, o.p.s., Sluňákov - centrum ekologických aktivit města Olomouce, o.p.s., Karlovarské městské divadlo, o.p.s., Jablonecké kulturní a informační centrum, o.p.s., Domovinka Němčičky o. p. s., PRO - SPORT ČK o.p.</w:t>
      </w:r>
      <w:r w:rsidRPr="00774FF7" w:rsidR="00B804C0">
        <w:rPr>
          <w:rFonts w:ascii="Calibri" w:hAnsi="Calibri"/>
          <w:sz w:val="20"/>
          <w:szCs w:val="20"/>
        </w:rPr>
        <w:t>s.</w:t>
      </w:r>
      <w:r w:rsidRPr="00774FF7" w:rsidR="001422CD">
        <w:rPr>
          <w:rFonts w:ascii="Calibri" w:hAnsi="Calibri"/>
          <w:sz w:val="20"/>
          <w:szCs w:val="20"/>
        </w:rPr>
        <w:t xml:space="preserve">, Městská knihovna Náchod, obecně prospěšná společnost, MĚSTSKÉ DIVADLO ČESKÝ KRUMLOV o.p.s., Destinační a informační agentura </w:t>
      </w:r>
      <w:r w:rsidR="009C1F5A">
        <w:rPr>
          <w:rFonts w:ascii="Calibri" w:hAnsi="Calibri"/>
          <w:sz w:val="20"/>
          <w:szCs w:val="20"/>
        </w:rPr>
        <w:t>–</w:t>
      </w:r>
      <w:r w:rsidRPr="00774FF7" w:rsidR="001422CD">
        <w:rPr>
          <w:rFonts w:ascii="Calibri" w:hAnsi="Calibri"/>
          <w:sz w:val="20"/>
          <w:szCs w:val="20"/>
        </w:rPr>
        <w:t xml:space="preserve"> Františkovy</w:t>
      </w:r>
      <w:r w:rsidR="00600B34">
        <w:rPr>
          <w:rFonts w:ascii="Calibri" w:hAnsi="Calibri"/>
          <w:sz w:val="20"/>
          <w:szCs w:val="20"/>
        </w:rPr>
        <w:t xml:space="preserve"> </w:t>
      </w:r>
      <w:r w:rsidRPr="00774FF7" w:rsidR="001422CD">
        <w:rPr>
          <w:rFonts w:ascii="Calibri" w:hAnsi="Calibri"/>
          <w:sz w:val="20"/>
          <w:szCs w:val="20"/>
        </w:rPr>
        <w:t>Lázně</w:t>
      </w:r>
      <w:r w:rsidR="00600B34">
        <w:rPr>
          <w:rFonts w:ascii="Calibri" w:hAnsi="Calibri"/>
          <w:sz w:val="20"/>
          <w:szCs w:val="20"/>
        </w:rPr>
        <w:t>.</w:t>
      </w:r>
      <w:r w:rsidRPr="00774FF7" w:rsidR="001422CD">
        <w:rPr>
          <w:rFonts w:ascii="Calibri" w:hAnsi="Calibri"/>
          <w:sz w:val="20"/>
          <w:szCs w:val="20"/>
        </w:rPr>
        <w:t>z.ú.,LiduŠka</w:t>
      </w:r>
      <w:r w:rsidR="00C26D21">
        <w:rPr>
          <w:rFonts w:ascii="Calibri" w:hAnsi="Calibri"/>
          <w:sz w:val="20"/>
          <w:szCs w:val="20"/>
        </w:rPr>
        <w:t xml:space="preserve"> </w:t>
      </w:r>
      <w:r w:rsidRPr="00774FF7" w:rsidR="001422CD">
        <w:rPr>
          <w:rFonts w:ascii="Calibri" w:hAnsi="Calibri"/>
          <w:sz w:val="20"/>
          <w:szCs w:val="20"/>
        </w:rPr>
        <w:t>-</w:t>
      </w:r>
      <w:r w:rsidR="00C26D21">
        <w:rPr>
          <w:rFonts w:ascii="Calibri" w:hAnsi="Calibri"/>
          <w:sz w:val="20"/>
          <w:szCs w:val="20"/>
        </w:rPr>
        <w:t xml:space="preserve"> </w:t>
      </w:r>
      <w:r w:rsidRPr="00774FF7" w:rsidR="001422CD">
        <w:rPr>
          <w:rFonts w:ascii="Calibri" w:hAnsi="Calibri"/>
          <w:sz w:val="20"/>
          <w:szCs w:val="20"/>
        </w:rPr>
        <w:t>spolek pro podporu uměleckého vzdělávání, z.ú., Plumlov, Institut environmentálních výzkumů a aplikací, zapsaný ústav, Pečovatelská služba Kroměříž z.ú., Plzeň 2015, zapsaný ústav, Veselské kulturní centrum, z.ú., Základní škola Vyžlovka, Svazková škola Panská pole, základní škola, Mateřská škola Štědřík, Základní škola Amos</w:t>
      </w:r>
      <w:r w:rsidRPr="00FD6D35" w:rsidR="001422CD">
        <w:rPr>
          <w:rFonts w:ascii="Calibri" w:hAnsi="Calibri"/>
          <w:sz w:val="20"/>
          <w:szCs w:val="20"/>
        </w:rPr>
        <w:t>, Jubilejní základní škola svatováclavská ve Strýčicích</w:t>
      </w:r>
      <w:r w:rsidRPr="00774FF7" w:rsidR="001422CD">
        <w:rPr>
          <w:rFonts w:ascii="Calibri" w:hAnsi="Calibri"/>
          <w:sz w:val="20"/>
          <w:szCs w:val="20"/>
        </w:rPr>
        <w:t>, Základní škola bratří Fričů Ondřejov,</w:t>
      </w:r>
      <w:r w:rsidRPr="00774FF7" w:rsidR="008810C1">
        <w:rPr>
          <w:rFonts w:ascii="Calibri" w:hAnsi="Calibri"/>
          <w:sz w:val="20"/>
          <w:szCs w:val="20"/>
        </w:rPr>
        <w:t xml:space="preserve"> Nadační fond Dvojka srdcem,</w:t>
      </w:r>
      <w:r w:rsidRPr="00774FF7" w:rsidR="001422CD">
        <w:rPr>
          <w:rFonts w:ascii="Calibri" w:hAnsi="Calibri"/>
          <w:sz w:val="20"/>
          <w:szCs w:val="20"/>
        </w:rPr>
        <w:t xml:space="preserve"> Svazková mateřská škola VENKOV, Základní škola a mateřská škola Regionu Karlovarský venkov, </w:t>
      </w:r>
      <w:r w:rsidR="00926DD7">
        <w:rPr>
          <w:rFonts w:ascii="Calibri" w:hAnsi="Calibri"/>
          <w:sz w:val="20"/>
          <w:szCs w:val="20"/>
        </w:rPr>
        <w:t>I</w:t>
      </w:r>
      <w:r w:rsidRPr="00774FF7" w:rsidR="001422CD">
        <w:rPr>
          <w:rFonts w:ascii="Calibri" w:hAnsi="Calibri"/>
          <w:sz w:val="20"/>
          <w:szCs w:val="20"/>
        </w:rPr>
        <w:t>nstitut lázeňství a balneologie, v. v. i., Ústav archeologické památkové péče severozápadních Čech, v. v. i., veřejná výzkumná instituce, Výzkumný ústav balneologický, v. v. i., Svaz měst a obcí České republiky, Jihočeský vodárenský svaz, Svazek obcí-akcionářů a.s., se sídlem v Nepomuku, Vírský oblastní vodovod, sdružení měst, obcí a svazků obcí, Vodárenské sdružení Bechyňsko, Euroregion Praděd, Sdružení měst a obcí Plzeňského kraje, Sdružení obcí Region LVA, Asociace krajů České republiky, Jizerské hory - Turistický region Liberecko, Jablonecko, Frýdlantsko a Tanvaldsko</w:t>
      </w:r>
      <w:r w:rsidRPr="00774FF7" w:rsidR="00A257C5">
        <w:rPr>
          <w:rFonts w:ascii="Calibri" w:hAnsi="Calibri"/>
          <w:sz w:val="20"/>
          <w:szCs w:val="20"/>
        </w:rPr>
        <w:t>, ZŠ Úvaly, Výz. Institut ochrany genofondu, Naděje, o.p.s. Velký Osek, Jizerská o.p.s.,</w:t>
      </w:r>
      <w:r w:rsidRPr="00774FF7" w:rsidR="00533CB4">
        <w:rPr>
          <w:rFonts w:ascii="Calibri" w:hAnsi="Calibri"/>
          <w:sz w:val="20"/>
          <w:szCs w:val="20"/>
        </w:rPr>
        <w:t xml:space="preserve"> </w:t>
      </w:r>
      <w:r w:rsidRPr="00774FF7" w:rsidR="00A257C5">
        <w:rPr>
          <w:rFonts w:ascii="Calibri" w:hAnsi="Calibri"/>
          <w:sz w:val="20"/>
          <w:szCs w:val="20"/>
        </w:rPr>
        <w:t>Bedřichov, Dětské jesle o.p.s., Praha, Petrklíč o.p.s. Uh. Hradiště Filh</w:t>
      </w:r>
      <w:r w:rsidRPr="00774FF7" w:rsidR="00533CB4">
        <w:rPr>
          <w:rFonts w:ascii="Calibri" w:hAnsi="Calibri"/>
          <w:sz w:val="20"/>
          <w:szCs w:val="20"/>
        </w:rPr>
        <w:t>armonie</w:t>
      </w:r>
      <w:r w:rsidRPr="00774FF7" w:rsidR="00A257C5">
        <w:rPr>
          <w:rFonts w:ascii="Calibri" w:hAnsi="Calibri"/>
          <w:sz w:val="20"/>
          <w:szCs w:val="20"/>
        </w:rPr>
        <w:t xml:space="preserve"> B. Martinů o.p.s., </w:t>
      </w:r>
      <w:r w:rsidRPr="00774FF7" w:rsidR="00533CB4">
        <w:rPr>
          <w:rFonts w:ascii="Calibri" w:hAnsi="Calibri"/>
          <w:sz w:val="20"/>
          <w:szCs w:val="20"/>
        </w:rPr>
        <w:t>Vodovod Besednice, Nadace pro rozvoj, PA, Zájmové sdruž. Do-JE, Jeseni,</w:t>
      </w:r>
      <w:r w:rsidR="002D2B4F">
        <w:rPr>
          <w:rFonts w:ascii="Calibri" w:hAnsi="Calibri"/>
          <w:sz w:val="20"/>
          <w:szCs w:val="20"/>
        </w:rPr>
        <w:t xml:space="preserve"> </w:t>
      </w:r>
      <w:r w:rsidRPr="00774FF7" w:rsidR="00533CB4">
        <w:rPr>
          <w:rFonts w:ascii="Calibri" w:hAnsi="Calibri"/>
          <w:sz w:val="20"/>
          <w:szCs w:val="20"/>
        </w:rPr>
        <w:t xml:space="preserve">Vodohospodářské sdružení Přestavlky, Zálesí-Kan- sb. Batňovic, severomoravský vodárenský svaz, </w:t>
      </w:r>
      <w:r w:rsidR="002C261E">
        <w:rPr>
          <w:rFonts w:ascii="Calibri" w:hAnsi="Calibri"/>
          <w:sz w:val="20"/>
          <w:szCs w:val="20"/>
        </w:rPr>
        <w:t>Quingburk, MŠ Na statku Drahel, Lesní MŠ Boreček, Borek,</w:t>
      </w:r>
      <w:r w:rsidR="006D282C">
        <w:rPr>
          <w:rFonts w:ascii="Calibri" w:hAnsi="Calibri"/>
          <w:sz w:val="20"/>
          <w:szCs w:val="20"/>
        </w:rPr>
        <w:t xml:space="preserve"> Sociální služby města H, Městské divadlo JC N/N o.p.s., Karlovarské městské divadlo o.p.s., Jabl. kulturní a informační centrum o.p.s., </w:t>
      </w:r>
      <w:r w:rsidR="00926DD7">
        <w:rPr>
          <w:rFonts w:ascii="Calibri" w:hAnsi="Calibri"/>
          <w:sz w:val="20"/>
          <w:szCs w:val="20"/>
        </w:rPr>
        <w:t>Plzeň 2015, zapsán ústav, ÚAPP,VVI Brno, Jizerská dráha Smržovka, Sdr. Ob. Region Lednice, MŠ Lety Lety, ZŠ, MŠ údolí Desné, Sdružení obcí povodí Hracha.</w:t>
      </w:r>
    </w:p>
    <w:p w:rsidR="003466BD" w:rsidRPr="00ED1997" w:rsidP="009965A3">
      <w:pPr>
        <w:jc w:val="both"/>
        <w:rPr>
          <w:rFonts w:ascii="Calibri" w:hAnsi="Calibri"/>
        </w:rPr>
      </w:pPr>
    </w:p>
    <w:p w:rsidR="003466BD" w:rsidRPr="00D3455E" w:rsidP="00804145">
      <w:pPr>
        <w:jc w:val="both"/>
        <w:rPr>
          <w:rFonts w:ascii="Calibri" w:hAnsi="Calibri"/>
          <w:b/>
        </w:rPr>
      </w:pPr>
      <w:r w:rsidRPr="00D3455E">
        <w:rPr>
          <w:rFonts w:ascii="Calibri" w:hAnsi="Calibri"/>
          <w:b/>
        </w:rPr>
        <w:t>Datové zdroje:</w:t>
      </w:r>
    </w:p>
    <w:p w:rsidR="003466BD" w:rsidRPr="00037956" w:rsidP="002B2AA2">
      <w:pPr>
        <w:jc w:val="both"/>
        <w:rPr>
          <w:rFonts w:ascii="Calibri" w:hAnsi="Calibri"/>
          <w:sz w:val="20"/>
          <w:szCs w:val="20"/>
        </w:rPr>
      </w:pPr>
      <w:r w:rsidRPr="00037956">
        <w:rPr>
          <w:rFonts w:ascii="Calibri" w:hAnsi="Calibri"/>
          <w:sz w:val="20"/>
          <w:szCs w:val="20"/>
        </w:rPr>
        <w:t>Za tuto skupinu organizací budou zveřejňovány odhady s využitím výkazu P 5-01 „Roční výkaz ekonomických subjektů vybraných produkčních odvětví“ a výkazu NI 1-01a „Roční výkaz neziskových institucí, bytových družstev a vybraných institucí“, které používá Český statistický úřad pro statistická zjišťování dle zákona č. 89/1995 Sb., o státní statistické službě</w:t>
      </w:r>
      <w:r w:rsidR="006A0B5A">
        <w:rPr>
          <w:rFonts w:ascii="Calibri" w:hAnsi="Calibri"/>
          <w:sz w:val="20"/>
          <w:szCs w:val="20"/>
        </w:rPr>
        <w:t>, ve znění pozdějších předpisů.</w:t>
      </w:r>
    </w:p>
    <w:p w:rsidR="00790E26" w:rsidRPr="00037956" w:rsidP="00790E26">
      <w:pPr>
        <w:jc w:val="both"/>
        <w:rPr>
          <w:rFonts w:ascii="Calibri" w:hAnsi="Calibri"/>
          <w:sz w:val="20"/>
          <w:szCs w:val="20"/>
        </w:rPr>
      </w:pPr>
    </w:p>
    <w:p w:rsidR="003466BD" w:rsidRPr="00D3455E" w:rsidP="00804145">
      <w:pPr>
        <w:jc w:val="both"/>
        <w:rPr>
          <w:rFonts w:ascii="Calibri" w:hAnsi="Calibri"/>
          <w:b/>
        </w:rPr>
      </w:pPr>
      <w:r w:rsidRPr="00D3455E">
        <w:rPr>
          <w:rFonts w:ascii="Calibri" w:hAnsi="Calibri"/>
          <w:b/>
        </w:rPr>
        <w:t>Periodicita:</w:t>
      </w:r>
    </w:p>
    <w:p w:rsidR="003466BD" w:rsidRPr="00037956" w:rsidP="00804145">
      <w:pPr>
        <w:jc w:val="both"/>
        <w:rPr>
          <w:rFonts w:ascii="Calibri" w:hAnsi="Calibri"/>
          <w:sz w:val="20"/>
          <w:szCs w:val="20"/>
        </w:rPr>
      </w:pPr>
      <w:r>
        <w:rPr>
          <w:rFonts w:ascii="Calibri" w:hAnsi="Calibri"/>
          <w:sz w:val="20"/>
          <w:szCs w:val="20"/>
        </w:rPr>
        <w:t>Čtvrtletní</w:t>
      </w:r>
    </w:p>
    <w:p w:rsidR="00790E26" w:rsidRPr="00037956" w:rsidP="00790E26">
      <w:pPr>
        <w:jc w:val="both"/>
        <w:rPr>
          <w:rFonts w:ascii="Calibri" w:hAnsi="Calibri"/>
          <w:sz w:val="20"/>
          <w:szCs w:val="20"/>
        </w:rPr>
      </w:pPr>
    </w:p>
    <w:p w:rsidR="003466BD" w:rsidRPr="00D3455E" w:rsidP="00804145">
      <w:pPr>
        <w:jc w:val="both"/>
        <w:rPr>
          <w:rFonts w:ascii="Calibri" w:hAnsi="Calibri"/>
          <w:b/>
        </w:rPr>
      </w:pPr>
      <w:r w:rsidRPr="00D3455E">
        <w:rPr>
          <w:rFonts w:ascii="Calibri" w:hAnsi="Calibri"/>
          <w:b/>
        </w:rPr>
        <w:t>Termín zveřejňování:</w:t>
      </w:r>
    </w:p>
    <w:p w:rsidR="00F666F9" w:rsidRPr="00F666F9" w:rsidP="00F666F9">
      <w:pPr>
        <w:jc w:val="both"/>
        <w:rPr>
          <w:rFonts w:ascii="Calibri" w:hAnsi="Calibri" w:cs="Calibri"/>
          <w:sz w:val="20"/>
          <w:szCs w:val="20"/>
        </w:rPr>
      </w:pPr>
      <w:r w:rsidRPr="00F666F9">
        <w:rPr>
          <w:rFonts w:ascii="Calibri" w:hAnsi="Calibri" w:cs="Calibri"/>
          <w:sz w:val="20"/>
          <w:szCs w:val="20"/>
        </w:rPr>
        <w:t xml:space="preserve">Vždy do konce čtvrtletí následujícího po skončení referenčního období (předchozího čtvrtletí). Konkrétní termíny zveřejnění jsou obsahem </w:t>
      </w:r>
      <w:r>
        <w:fldChar w:fldCharType="begin"/>
      </w:r>
      <w:r>
        <w:instrText xml:space="preserve"> HYPERLINK "http://www.mfcr.cz/cs/verejny-sektor/rozpoctove-ramce-statisticke-informace/kalendar-zverejnovani" </w:instrText>
      </w:r>
      <w:r>
        <w:fldChar w:fldCharType="separate"/>
      </w:r>
      <w:r w:rsidRPr="00F666F9">
        <w:rPr>
          <w:rStyle w:val="Hyperlink"/>
          <w:rFonts w:ascii="Calibri" w:hAnsi="Calibri" w:cs="Calibri"/>
          <w:sz w:val="20"/>
          <w:szCs w:val="20"/>
        </w:rPr>
        <w:t>publikačního kalendáře</w:t>
      </w:r>
      <w:r>
        <w:fldChar w:fldCharType="end"/>
      </w:r>
      <w:r w:rsidRPr="00F666F9">
        <w:rPr>
          <w:rFonts w:ascii="Calibri" w:hAnsi="Calibri" w:cs="Calibri"/>
          <w:sz w:val="20"/>
          <w:szCs w:val="20"/>
        </w:rPr>
        <w:t>, dostupného na stránkách Ministerstva financí.</w:t>
      </w:r>
    </w:p>
    <w:p w:rsidR="00790E26" w:rsidRPr="00037956" w:rsidP="00790E26">
      <w:pPr>
        <w:jc w:val="both"/>
        <w:rPr>
          <w:rFonts w:ascii="Calibri" w:hAnsi="Calibri"/>
          <w:sz w:val="20"/>
          <w:szCs w:val="20"/>
        </w:rPr>
      </w:pPr>
    </w:p>
    <w:p w:rsidR="003466BD" w:rsidRPr="00D3455E" w:rsidP="00804145">
      <w:pPr>
        <w:jc w:val="both"/>
        <w:rPr>
          <w:rFonts w:ascii="Calibri" w:hAnsi="Calibri"/>
          <w:b/>
        </w:rPr>
      </w:pPr>
      <w:r w:rsidRPr="00D3455E">
        <w:rPr>
          <w:rFonts w:ascii="Calibri" w:hAnsi="Calibri"/>
          <w:b/>
        </w:rPr>
        <w:t>Revize:</w:t>
      </w:r>
    </w:p>
    <w:p w:rsidR="003466BD" w:rsidP="00804145">
      <w:pPr>
        <w:jc w:val="both"/>
        <w:rPr>
          <w:rFonts w:ascii="Calibri" w:hAnsi="Calibri"/>
          <w:sz w:val="20"/>
          <w:szCs w:val="20"/>
        </w:rPr>
      </w:pPr>
      <w:r w:rsidRPr="00037956">
        <w:rPr>
          <w:rFonts w:ascii="Calibri" w:hAnsi="Calibri"/>
          <w:sz w:val="20"/>
          <w:szCs w:val="20"/>
        </w:rPr>
        <w:t>Data nejsou revidována.</w:t>
      </w:r>
    </w:p>
    <w:p w:rsidR="00882EC1" w:rsidRPr="00037956" w:rsidP="00804145">
      <w:pPr>
        <w:jc w:val="both"/>
        <w:rPr>
          <w:rFonts w:ascii="Calibri" w:hAnsi="Calibri"/>
          <w:sz w:val="20"/>
          <w:szCs w:val="20"/>
        </w:rPr>
      </w:pPr>
    </w:p>
    <w:p w:rsidR="00790E26" w:rsidRPr="00037956" w:rsidP="00790E26">
      <w:pPr>
        <w:jc w:val="both"/>
        <w:rPr>
          <w:rFonts w:ascii="Calibri" w:hAnsi="Calibri"/>
          <w:sz w:val="20"/>
          <w:szCs w:val="20"/>
        </w:rPr>
      </w:pPr>
    </w:p>
    <w:p w:rsidR="003466BD" w:rsidRPr="00D3455E">
      <w:pPr>
        <w:rPr>
          <w:rFonts w:ascii="Calibri" w:hAnsi="Calibri"/>
          <w:b/>
        </w:rPr>
      </w:pPr>
      <w:r w:rsidRPr="00D3455E">
        <w:rPr>
          <w:rFonts w:ascii="Calibri" w:hAnsi="Calibri"/>
          <w:b/>
        </w:rPr>
        <w:t>Metodický popis:</w:t>
      </w:r>
    </w:p>
    <w:p w:rsidR="003466BD" w:rsidRPr="00037956" w:rsidP="000762EA">
      <w:pPr>
        <w:jc w:val="both"/>
        <w:rPr>
          <w:rFonts w:ascii="Calibri" w:hAnsi="Calibri"/>
          <w:sz w:val="20"/>
          <w:szCs w:val="20"/>
        </w:rPr>
      </w:pPr>
      <w:r w:rsidRPr="00211766">
        <w:rPr>
          <w:rFonts w:ascii="Calibri" w:hAnsi="Calibri"/>
          <w:sz w:val="20"/>
          <w:szCs w:val="20"/>
        </w:rPr>
        <w:t xml:space="preserve">Uvedené statistické výkazy jsou koncipovány v návaznosti na uspořádání Výkazu zisku a ztráty. Položky jsou vybrány </w:t>
      </w:r>
      <w:r w:rsidRPr="00211766" w:rsidR="00211766">
        <w:rPr>
          <w:rFonts w:ascii="Calibri" w:hAnsi="Calibri" w:cs="Calibri"/>
          <w:sz w:val="20"/>
          <w:szCs w:val="20"/>
        </w:rPr>
        <w:t>v takové struktuře, aby se v rámci možností přiblížil</w:t>
      </w:r>
      <w:r w:rsidR="00B77D04">
        <w:rPr>
          <w:rFonts w:ascii="Calibri" w:hAnsi="Calibri" w:cs="Calibri"/>
          <w:sz w:val="20"/>
          <w:szCs w:val="20"/>
        </w:rPr>
        <w:t>y</w:t>
      </w:r>
      <w:r w:rsidRPr="00211766" w:rsidR="00211766">
        <w:rPr>
          <w:rFonts w:ascii="Calibri" w:hAnsi="Calibri" w:cs="Calibri"/>
          <w:sz w:val="20"/>
          <w:szCs w:val="20"/>
        </w:rPr>
        <w:t xml:space="preserve"> parametrům, které vycházejí z manuálu Vládní finanční statistiky 2014 (Government Finance Statistics Manual 2014) zpracovaného Mezinárodním měnovým fondem</w:t>
      </w:r>
      <w:r w:rsidRPr="00211766">
        <w:rPr>
          <w:rFonts w:ascii="Calibri" w:hAnsi="Calibri"/>
          <w:sz w:val="20"/>
          <w:szCs w:val="20"/>
        </w:rPr>
        <w:t>. Z toho důvodu byly vyloučeny některé operace: např. příjmy z prodeje cenných papírů a akcií, prodané cenné papíry</w:t>
      </w:r>
      <w:r w:rsidRPr="00037956">
        <w:rPr>
          <w:rFonts w:ascii="Calibri" w:hAnsi="Calibri"/>
          <w:sz w:val="20"/>
          <w:szCs w:val="20"/>
        </w:rPr>
        <w:t xml:space="preserve"> a akcie, kurzové zisky a ztráty, odpisy pohledávek, tvorba a použití rezerv a opravných položek, apod.</w:t>
      </w:r>
    </w:p>
    <w:p w:rsidR="003466BD" w:rsidRPr="00037956" w:rsidP="000762EA">
      <w:pPr>
        <w:jc w:val="both"/>
        <w:rPr>
          <w:rFonts w:ascii="Calibri" w:hAnsi="Calibri"/>
          <w:sz w:val="20"/>
          <w:szCs w:val="20"/>
        </w:rPr>
      </w:pPr>
    </w:p>
    <w:p w:rsidR="003466BD" w:rsidP="000762EA">
      <w:pPr>
        <w:jc w:val="both"/>
        <w:rPr>
          <w:rFonts w:ascii="Calibri" w:hAnsi="Calibri"/>
          <w:sz w:val="20"/>
          <w:szCs w:val="20"/>
        </w:rPr>
      </w:pPr>
      <w:r w:rsidRPr="00037956">
        <w:rPr>
          <w:rFonts w:ascii="Calibri" w:hAnsi="Calibri"/>
          <w:sz w:val="20"/>
          <w:szCs w:val="20"/>
        </w:rPr>
        <w:t>Ve srovnání s ESA nejsou zohledněny transakce s nefinančními aktivy (výkaz zisku a ztráty neobsahuje informaci o pořízení nefinančních aktiv a investičních dotacích). Účetní odpisy nefinančních aktiv jsou použity jako aproximace spotřeby fixního kapitálu.</w:t>
      </w:r>
    </w:p>
    <w:p w:rsidR="00F666F9" w:rsidRPr="00037956" w:rsidP="000762EA">
      <w:pPr>
        <w:jc w:val="both"/>
        <w:rPr>
          <w:rFonts w:ascii="Calibri" w:hAnsi="Calibri"/>
          <w:sz w:val="20"/>
          <w:szCs w:val="20"/>
        </w:rPr>
      </w:pPr>
    </w:p>
    <w:p w:rsidR="00F666F9" w:rsidRPr="00F666F9" w:rsidP="00F666F9">
      <w:pPr>
        <w:jc w:val="both"/>
        <w:rPr>
          <w:rFonts w:ascii="Calibri" w:hAnsi="Calibri" w:cs="Calibri"/>
          <w:sz w:val="20"/>
          <w:szCs w:val="20"/>
        </w:rPr>
      </w:pPr>
      <w:r w:rsidRPr="00F666F9">
        <w:rPr>
          <w:rFonts w:ascii="Calibri" w:hAnsi="Calibri" w:cs="Calibri"/>
          <w:sz w:val="20"/>
          <w:szCs w:val="20"/>
        </w:rPr>
        <w:t>Zveřejňované údaje zahrnují:</w:t>
      </w:r>
    </w:p>
    <w:p w:rsidR="00F666F9" w:rsidRPr="00FC2995" w:rsidP="00F666F9">
      <w:pPr>
        <w:jc w:val="both"/>
        <w:rPr>
          <w:rFonts w:ascii="Calibri" w:hAnsi="Calibri" w:cs="Calibri"/>
          <w:b/>
          <w:sz w:val="20"/>
          <w:szCs w:val="20"/>
        </w:rPr>
      </w:pPr>
      <w:r w:rsidRPr="00FC2995">
        <w:rPr>
          <w:rFonts w:ascii="Calibri" w:hAnsi="Calibri" w:cs="Calibri"/>
          <w:b/>
          <w:sz w:val="20"/>
          <w:szCs w:val="20"/>
        </w:rPr>
        <w:t>VÝNOSOVÉ TRANSAKCE</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1</w:t>
      </w:r>
      <w:r w:rsidRPr="00FC2995">
        <w:rPr>
          <w:rFonts w:ascii="Calibri" w:hAnsi="Calibri" w:cs="Calibri"/>
          <w:sz w:val="20"/>
          <w:szCs w:val="20"/>
        </w:rPr>
        <w:tab/>
        <w:t xml:space="preserve">Daně: </w:t>
      </w:r>
    </w:p>
    <w:p w:rsidR="00F666F9" w:rsidRPr="00FC2995" w:rsidP="00F666F9">
      <w:pPr>
        <w:ind w:firstLine="851"/>
        <w:jc w:val="both"/>
        <w:rPr>
          <w:rFonts w:ascii="Calibri" w:hAnsi="Calibri" w:cs="Calibri"/>
          <w:sz w:val="20"/>
          <w:szCs w:val="20"/>
        </w:rPr>
      </w:pPr>
      <w:r w:rsidRPr="00FC2995">
        <w:rPr>
          <w:rFonts w:ascii="Calibri" w:hAnsi="Calibri" w:cs="Calibri"/>
          <w:sz w:val="20"/>
          <w:szCs w:val="20"/>
        </w:rPr>
        <w:t>11</w:t>
      </w:r>
      <w:r w:rsidRPr="00FC2995">
        <w:rPr>
          <w:rFonts w:ascii="Calibri" w:hAnsi="Calibri" w:cs="Calibri"/>
          <w:sz w:val="20"/>
          <w:szCs w:val="20"/>
        </w:rPr>
        <w:tab/>
        <w:t>Přímé</w:t>
      </w:r>
    </w:p>
    <w:p w:rsidR="00F666F9" w:rsidRPr="00FC2995" w:rsidP="00F666F9">
      <w:pPr>
        <w:ind w:firstLine="851"/>
        <w:jc w:val="both"/>
        <w:rPr>
          <w:rFonts w:ascii="Calibri" w:hAnsi="Calibri" w:cs="Calibri"/>
          <w:sz w:val="20"/>
          <w:szCs w:val="20"/>
        </w:rPr>
      </w:pPr>
      <w:r w:rsidRPr="00FC2995">
        <w:rPr>
          <w:rFonts w:ascii="Calibri" w:hAnsi="Calibri" w:cs="Calibri"/>
          <w:sz w:val="20"/>
          <w:szCs w:val="20"/>
        </w:rPr>
        <w:t>12</w:t>
      </w:r>
      <w:r w:rsidRPr="00FC2995">
        <w:rPr>
          <w:rFonts w:ascii="Calibri" w:hAnsi="Calibri" w:cs="Calibri"/>
          <w:sz w:val="20"/>
          <w:szCs w:val="20"/>
        </w:rPr>
        <w:tab/>
        <w:t>Nepřímé</w:t>
      </w:r>
      <w:bookmarkStart w:id="0" w:name="_GoBack"/>
      <w:bookmarkEnd w:id="0"/>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2</w:t>
      </w:r>
      <w:r w:rsidRPr="00FC2995">
        <w:rPr>
          <w:rFonts w:ascii="Calibri" w:hAnsi="Calibri" w:cs="Calibri"/>
          <w:sz w:val="20"/>
          <w:szCs w:val="20"/>
        </w:rPr>
        <w:tab/>
        <w:t>Sociální příspěvky</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3</w:t>
      </w:r>
      <w:r w:rsidRPr="00FC2995">
        <w:rPr>
          <w:rFonts w:ascii="Calibri" w:hAnsi="Calibri" w:cs="Calibri"/>
          <w:sz w:val="20"/>
          <w:szCs w:val="20"/>
        </w:rPr>
        <w:tab/>
        <w:t>Transfery</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4</w:t>
      </w:r>
      <w:r w:rsidRPr="00FC2995">
        <w:rPr>
          <w:rFonts w:ascii="Calibri" w:hAnsi="Calibri" w:cs="Calibri"/>
          <w:sz w:val="20"/>
          <w:szCs w:val="20"/>
        </w:rPr>
        <w:tab/>
        <w:t>Ostatní transakce:</w:t>
      </w:r>
    </w:p>
    <w:p w:rsidR="00F666F9" w:rsidRPr="00FC2995" w:rsidP="00F666F9">
      <w:pPr>
        <w:ind w:firstLine="851"/>
        <w:jc w:val="both"/>
        <w:rPr>
          <w:rFonts w:ascii="Calibri" w:hAnsi="Calibri" w:cs="Calibri"/>
          <w:sz w:val="20"/>
          <w:szCs w:val="20"/>
        </w:rPr>
      </w:pPr>
      <w:r w:rsidRPr="00FC2995">
        <w:rPr>
          <w:rFonts w:ascii="Calibri" w:hAnsi="Calibri" w:cs="Calibri"/>
          <w:sz w:val="20"/>
          <w:szCs w:val="20"/>
        </w:rPr>
        <w:t>41</w:t>
      </w:r>
      <w:r w:rsidRPr="00FC2995">
        <w:rPr>
          <w:rFonts w:ascii="Calibri" w:hAnsi="Calibri" w:cs="Calibri"/>
          <w:sz w:val="20"/>
          <w:szCs w:val="20"/>
        </w:rPr>
        <w:tab/>
        <w:t>Úroky</w:t>
      </w:r>
    </w:p>
    <w:p w:rsidR="00F666F9" w:rsidRPr="00FC2995" w:rsidP="00F666F9">
      <w:pPr>
        <w:ind w:firstLine="851"/>
        <w:jc w:val="both"/>
        <w:rPr>
          <w:rFonts w:ascii="Calibri" w:hAnsi="Calibri" w:cs="Calibri"/>
          <w:sz w:val="20"/>
          <w:szCs w:val="20"/>
        </w:rPr>
      </w:pPr>
      <w:r w:rsidRPr="00FC2995">
        <w:rPr>
          <w:rFonts w:ascii="Calibri" w:hAnsi="Calibri" w:cs="Calibri"/>
          <w:sz w:val="20"/>
          <w:szCs w:val="20"/>
        </w:rPr>
        <w:t>42</w:t>
      </w:r>
      <w:r w:rsidRPr="00FC2995">
        <w:rPr>
          <w:rFonts w:ascii="Calibri" w:hAnsi="Calibri" w:cs="Calibri"/>
          <w:sz w:val="20"/>
          <w:szCs w:val="20"/>
        </w:rPr>
        <w:tab/>
        <w:t>Dividendy</w:t>
      </w:r>
    </w:p>
    <w:p w:rsidR="00F666F9" w:rsidRPr="00FC2995" w:rsidP="00F666F9">
      <w:pPr>
        <w:ind w:firstLine="851"/>
        <w:jc w:val="both"/>
        <w:rPr>
          <w:rFonts w:ascii="Calibri" w:hAnsi="Calibri" w:cs="Calibri"/>
          <w:sz w:val="20"/>
          <w:szCs w:val="20"/>
        </w:rPr>
      </w:pPr>
      <w:r w:rsidRPr="00FC2995">
        <w:rPr>
          <w:rFonts w:ascii="Calibri" w:hAnsi="Calibri" w:cs="Calibri"/>
          <w:sz w:val="20"/>
          <w:szCs w:val="20"/>
        </w:rPr>
        <w:t>43</w:t>
      </w:r>
      <w:r w:rsidRPr="00FC2995">
        <w:rPr>
          <w:rFonts w:ascii="Calibri" w:hAnsi="Calibri" w:cs="Calibri"/>
          <w:sz w:val="20"/>
          <w:szCs w:val="20"/>
        </w:rPr>
        <w:tab/>
        <w:t>Prodeje zboží a služeb</w:t>
      </w:r>
    </w:p>
    <w:p w:rsidR="00F666F9" w:rsidRPr="00FC2995" w:rsidP="00F666F9">
      <w:pPr>
        <w:ind w:firstLine="851"/>
        <w:jc w:val="both"/>
        <w:rPr>
          <w:rFonts w:ascii="Calibri" w:hAnsi="Calibri" w:cs="Calibri"/>
          <w:sz w:val="20"/>
          <w:szCs w:val="20"/>
        </w:rPr>
      </w:pPr>
      <w:r w:rsidRPr="00FC2995">
        <w:rPr>
          <w:rFonts w:ascii="Calibri" w:hAnsi="Calibri" w:cs="Calibri"/>
          <w:sz w:val="20"/>
          <w:szCs w:val="20"/>
        </w:rPr>
        <w:t>44</w:t>
      </w:r>
      <w:r w:rsidRPr="00FC2995">
        <w:rPr>
          <w:rFonts w:ascii="Calibri" w:hAnsi="Calibri" w:cs="Calibri"/>
          <w:sz w:val="20"/>
          <w:szCs w:val="20"/>
        </w:rPr>
        <w:tab/>
        <w:t>Ostatní</w:t>
      </w:r>
    </w:p>
    <w:p w:rsidR="00F666F9" w:rsidRPr="00FC2995" w:rsidP="00F666F9">
      <w:pPr>
        <w:jc w:val="both"/>
        <w:rPr>
          <w:rFonts w:ascii="Calibri" w:hAnsi="Calibri" w:cs="Calibri"/>
          <w:b/>
          <w:sz w:val="20"/>
          <w:szCs w:val="20"/>
        </w:rPr>
      </w:pPr>
      <w:r w:rsidRPr="00FC2995">
        <w:rPr>
          <w:rFonts w:ascii="Calibri" w:hAnsi="Calibri" w:cs="Calibri"/>
          <w:b/>
          <w:sz w:val="20"/>
          <w:szCs w:val="20"/>
        </w:rPr>
        <w:t>NÁKLADOVÉ TRANSAKCE</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5</w:t>
      </w:r>
      <w:r w:rsidRPr="00FC2995">
        <w:rPr>
          <w:rFonts w:ascii="Calibri" w:hAnsi="Calibri" w:cs="Calibri"/>
          <w:sz w:val="20"/>
          <w:szCs w:val="20"/>
        </w:rPr>
        <w:tab/>
        <w:t>Náhrady zaměstnancům</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6</w:t>
      </w:r>
      <w:r w:rsidRPr="00FC2995">
        <w:rPr>
          <w:rFonts w:ascii="Calibri" w:hAnsi="Calibri" w:cs="Calibri"/>
          <w:sz w:val="20"/>
          <w:szCs w:val="20"/>
        </w:rPr>
        <w:tab/>
        <w:t>Spotřeba zboží a služeb</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7</w:t>
      </w:r>
      <w:r w:rsidRPr="00FC2995">
        <w:rPr>
          <w:rFonts w:ascii="Calibri" w:hAnsi="Calibri" w:cs="Calibri"/>
          <w:sz w:val="20"/>
          <w:szCs w:val="20"/>
        </w:rPr>
        <w:tab/>
        <w:t>Spotřeba fixního kapitálu</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8</w:t>
      </w:r>
      <w:r w:rsidRPr="00FC2995">
        <w:rPr>
          <w:rFonts w:ascii="Calibri" w:hAnsi="Calibri" w:cs="Calibri"/>
          <w:sz w:val="20"/>
          <w:szCs w:val="20"/>
        </w:rPr>
        <w:tab/>
        <w:t>Úroky</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9</w:t>
      </w:r>
      <w:r w:rsidRPr="00FC2995">
        <w:rPr>
          <w:rFonts w:ascii="Calibri" w:hAnsi="Calibri" w:cs="Calibri"/>
          <w:sz w:val="20"/>
          <w:szCs w:val="20"/>
        </w:rPr>
        <w:tab/>
        <w:t>Transfery</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10</w:t>
      </w:r>
      <w:r w:rsidRPr="00FC2995">
        <w:rPr>
          <w:rFonts w:ascii="Calibri" w:hAnsi="Calibri" w:cs="Calibri"/>
          <w:sz w:val="20"/>
          <w:szCs w:val="20"/>
        </w:rPr>
        <w:tab/>
        <w:t>Sociální dávky</w:t>
      </w:r>
    </w:p>
    <w:p w:rsidR="00F666F9" w:rsidRPr="00FC2995" w:rsidP="00F666F9">
      <w:pPr>
        <w:ind w:firstLine="284"/>
        <w:jc w:val="both"/>
        <w:rPr>
          <w:rFonts w:ascii="Calibri" w:hAnsi="Calibri" w:cs="Calibri"/>
          <w:sz w:val="20"/>
          <w:szCs w:val="20"/>
        </w:rPr>
      </w:pPr>
      <w:r w:rsidRPr="00FC2995">
        <w:rPr>
          <w:rFonts w:ascii="Calibri" w:hAnsi="Calibri" w:cs="Calibri"/>
          <w:sz w:val="20"/>
          <w:szCs w:val="20"/>
        </w:rPr>
        <w:t>11</w:t>
      </w:r>
      <w:r w:rsidRPr="00FC2995">
        <w:rPr>
          <w:rFonts w:ascii="Calibri" w:hAnsi="Calibri" w:cs="Calibri"/>
          <w:sz w:val="20"/>
          <w:szCs w:val="20"/>
        </w:rPr>
        <w:tab/>
        <w:t>Jiné transakce</w:t>
      </w:r>
    </w:p>
    <w:p w:rsidR="00F666F9" w:rsidRPr="00FC2995" w:rsidP="00F666F9">
      <w:pPr>
        <w:jc w:val="both"/>
        <w:rPr>
          <w:rFonts w:ascii="Calibri" w:hAnsi="Calibri" w:cs="Calibri"/>
          <w:b/>
          <w:sz w:val="20"/>
          <w:szCs w:val="20"/>
        </w:rPr>
      </w:pPr>
      <w:r w:rsidRPr="00FC2995">
        <w:rPr>
          <w:rFonts w:ascii="Calibri" w:hAnsi="Calibri" w:cs="Calibri"/>
          <w:b/>
          <w:sz w:val="20"/>
          <w:szCs w:val="20"/>
        </w:rPr>
        <w:t>SALDO</w:t>
      </w:r>
    </w:p>
    <w:p w:rsidR="00F666F9" w:rsidRPr="00FC2995" w:rsidP="00F666F9">
      <w:pPr>
        <w:jc w:val="both"/>
        <w:rPr>
          <w:rFonts w:ascii="Calibri" w:hAnsi="Calibri" w:cs="Calibri"/>
          <w:b/>
          <w:sz w:val="20"/>
          <w:szCs w:val="20"/>
        </w:rPr>
      </w:pPr>
      <w:r w:rsidRPr="00FC2995">
        <w:rPr>
          <w:rFonts w:ascii="Calibri" w:hAnsi="Calibri" w:cs="Calibri"/>
          <w:b/>
          <w:sz w:val="20"/>
          <w:szCs w:val="20"/>
        </w:rPr>
        <w:t>NEZAHRNUTO</w:t>
      </w:r>
    </w:p>
    <w:p w:rsidR="00F666F9" w:rsidRPr="00FC2995" w:rsidP="00F666F9">
      <w:pPr>
        <w:jc w:val="both"/>
        <w:rPr>
          <w:rFonts w:ascii="Calibri" w:hAnsi="Calibri" w:cs="Calibri"/>
          <w:sz w:val="20"/>
          <w:szCs w:val="20"/>
        </w:rPr>
      </w:pPr>
    </w:p>
    <w:p w:rsidR="00F666F9" w:rsidRPr="00F666F9" w:rsidP="00F666F9">
      <w:pPr>
        <w:pStyle w:val="ListParagraph"/>
        <w:ind w:left="0"/>
        <w:jc w:val="both"/>
        <w:rPr>
          <w:rFonts w:ascii="Calibri" w:hAnsi="Calibri" w:cs="Calibri"/>
          <w:b/>
        </w:rPr>
      </w:pPr>
      <w:r w:rsidRPr="00F666F9">
        <w:rPr>
          <w:rFonts w:ascii="Calibri" w:hAnsi="Calibri" w:cs="Calibri"/>
          <w:b/>
        </w:rPr>
        <w:t>Formát zveřejňování:</w:t>
      </w:r>
    </w:p>
    <w:p w:rsidR="00F666F9" w:rsidRPr="00F666F9" w:rsidP="00F666F9">
      <w:pPr>
        <w:pStyle w:val="ListParagraph"/>
        <w:ind w:left="0"/>
        <w:jc w:val="both"/>
        <w:rPr>
          <w:rFonts w:ascii="Calibri" w:hAnsi="Calibri" w:cs="Calibri"/>
          <w:sz w:val="20"/>
          <w:szCs w:val="20"/>
        </w:rPr>
      </w:pPr>
      <w:r w:rsidRPr="00F666F9">
        <w:rPr>
          <w:rFonts w:ascii="Calibri" w:hAnsi="Calibri" w:cs="Calibri"/>
          <w:sz w:val="20"/>
          <w:szCs w:val="20"/>
        </w:rPr>
        <w:t>(xlsx tabulka)</w:t>
      </w:r>
    </w:p>
    <w:p w:rsidR="00F666F9" w:rsidRPr="00F666F9" w:rsidP="00F666F9">
      <w:pPr>
        <w:pStyle w:val="ListParagraph"/>
        <w:ind w:left="0"/>
        <w:jc w:val="both"/>
        <w:rPr>
          <w:rFonts w:ascii="Calibri" w:hAnsi="Calibri" w:cs="Calibri"/>
          <w:sz w:val="20"/>
        </w:rPr>
      </w:pPr>
    </w:p>
    <w:p w:rsidR="00F666F9" w:rsidRPr="00F666F9" w:rsidP="00F666F9">
      <w:pPr>
        <w:pStyle w:val="ListParagraph"/>
        <w:ind w:left="0"/>
        <w:jc w:val="both"/>
        <w:rPr>
          <w:rFonts w:ascii="Calibri" w:hAnsi="Calibri" w:cs="Calibri"/>
          <w:b/>
        </w:rPr>
      </w:pPr>
      <w:r w:rsidRPr="00F666F9">
        <w:rPr>
          <w:rFonts w:ascii="Calibri" w:hAnsi="Calibri" w:cs="Calibri"/>
          <w:b/>
        </w:rPr>
        <w:t>Značky použité v tabulkách:</w:t>
      </w:r>
    </w:p>
    <w:p w:rsidR="00F666F9" w:rsidRPr="00F666F9" w:rsidP="00F666F9">
      <w:pPr>
        <w:pStyle w:val="ListParagraph"/>
        <w:ind w:left="0"/>
        <w:jc w:val="both"/>
        <w:rPr>
          <w:rFonts w:ascii="Calibri" w:hAnsi="Calibri" w:cs="Calibri"/>
          <w:sz w:val="20"/>
          <w:szCs w:val="20"/>
        </w:rPr>
      </w:pPr>
      <w:r w:rsidRPr="00F666F9">
        <w:rPr>
          <w:rFonts w:ascii="Calibri" w:hAnsi="Calibri" w:cs="Calibri"/>
        </w:rPr>
        <w:t>-</w:t>
      </w:r>
      <w:r w:rsidRPr="00F666F9">
        <w:rPr>
          <w:rFonts w:ascii="Calibri" w:hAnsi="Calibri" w:cs="Calibri"/>
        </w:rPr>
        <w:tab/>
      </w:r>
      <w:r w:rsidRPr="00F666F9">
        <w:rPr>
          <w:rFonts w:ascii="Calibri" w:hAnsi="Calibri" w:cs="Calibri"/>
          <w:sz w:val="20"/>
          <w:szCs w:val="20"/>
        </w:rPr>
        <w:t>jev se nevyskytoval</w:t>
      </w:r>
    </w:p>
    <w:p w:rsidR="00F666F9" w:rsidRPr="00F666F9" w:rsidP="00F666F9">
      <w:pPr>
        <w:pStyle w:val="ListParagraph"/>
        <w:ind w:left="0"/>
        <w:jc w:val="both"/>
        <w:rPr>
          <w:rFonts w:ascii="Calibri" w:hAnsi="Calibri" w:cs="Calibri"/>
          <w:sz w:val="20"/>
          <w:szCs w:val="20"/>
        </w:rPr>
      </w:pPr>
      <w:r w:rsidRPr="00F666F9">
        <w:rPr>
          <w:rFonts w:ascii="Calibri" w:hAnsi="Calibri" w:cs="Calibri"/>
          <w:sz w:val="20"/>
          <w:szCs w:val="20"/>
        </w:rPr>
        <w:t>.</w:t>
      </w:r>
      <w:r w:rsidRPr="00F666F9">
        <w:rPr>
          <w:rFonts w:ascii="Calibri" w:hAnsi="Calibri" w:cs="Calibri"/>
          <w:sz w:val="20"/>
          <w:szCs w:val="20"/>
        </w:rPr>
        <w:tab/>
        <w:t>údaj není k dispozici nebo je nespolehlivý</w:t>
      </w:r>
    </w:p>
    <w:p w:rsidR="00F666F9" w:rsidRPr="00F666F9" w:rsidP="00F666F9">
      <w:pPr>
        <w:pStyle w:val="ListParagraph"/>
        <w:ind w:left="0"/>
        <w:jc w:val="both"/>
        <w:rPr>
          <w:rFonts w:ascii="Calibri" w:hAnsi="Calibri" w:cs="Calibri"/>
          <w:sz w:val="20"/>
          <w:szCs w:val="20"/>
        </w:rPr>
      </w:pPr>
      <w:r w:rsidRPr="00F666F9">
        <w:rPr>
          <w:rFonts w:ascii="Calibri" w:hAnsi="Calibri" w:cs="Calibri"/>
          <w:sz w:val="20"/>
          <w:szCs w:val="20"/>
        </w:rPr>
        <w:t>x</w:t>
      </w:r>
      <w:r w:rsidRPr="00F666F9">
        <w:rPr>
          <w:rFonts w:ascii="Calibri" w:hAnsi="Calibri" w:cs="Calibri"/>
          <w:sz w:val="20"/>
          <w:szCs w:val="20"/>
        </w:rPr>
        <w:tab/>
        <w:t>zápis není možný z logických důvodů</w:t>
      </w:r>
    </w:p>
    <w:p w:rsidR="00F666F9" w:rsidRPr="00F666F9" w:rsidP="00F666F9">
      <w:pPr>
        <w:pStyle w:val="ListParagraph"/>
        <w:ind w:left="0"/>
        <w:jc w:val="both"/>
        <w:rPr>
          <w:rFonts w:ascii="Calibri" w:hAnsi="Calibri" w:cs="Calibri"/>
          <w:sz w:val="20"/>
          <w:szCs w:val="20"/>
        </w:rPr>
      </w:pPr>
      <w:r w:rsidRPr="00F666F9">
        <w:rPr>
          <w:rFonts w:ascii="Calibri" w:hAnsi="Calibri" w:cs="Calibri"/>
          <w:sz w:val="20"/>
          <w:szCs w:val="20"/>
        </w:rPr>
        <w:t>0</w:t>
      </w:r>
      <w:r w:rsidRPr="00F666F9">
        <w:rPr>
          <w:rFonts w:ascii="Calibri" w:hAnsi="Calibri" w:cs="Calibri"/>
          <w:sz w:val="20"/>
          <w:szCs w:val="20"/>
        </w:rPr>
        <w:tab/>
        <w:t>údaj je menší než polovina měřicí jednotky</w:t>
      </w:r>
    </w:p>
    <w:p w:rsidR="003466BD" w:rsidRPr="00037956" w:rsidP="00A07707">
      <w:pPr>
        <w:autoSpaceDE w:val="0"/>
        <w:autoSpaceDN w:val="0"/>
        <w:adjustRightInd w:val="0"/>
        <w:rPr>
          <w:rFonts w:ascii="Calibri" w:hAnsi="Calibri"/>
          <w:sz w:val="20"/>
          <w:szCs w:val="20"/>
        </w:rPr>
      </w:pPr>
    </w:p>
    <w:tbl>
      <w:tblPr>
        <w:tblW w:w="93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984"/>
        <w:gridCol w:w="7370"/>
      </w:tblGrid>
      <w:tr w:rsidTr="0054109C">
        <w:tblPrEx>
          <w:tblW w:w="93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cantSplit/>
          <w:trHeight w:val="315"/>
        </w:trPr>
        <w:tc>
          <w:tcPr>
            <w:tcW w:w="1984" w:type="dxa"/>
            <w:vAlign w:val="center"/>
          </w:tcPr>
          <w:p w:rsidR="00D5593C" w:rsidRPr="00D5593C" w:rsidP="00D5593C">
            <w:pPr>
              <w:jc w:val="center"/>
              <w:rPr>
                <w:rFonts w:ascii="Calibri" w:hAnsi="Calibri" w:cs="Calibri"/>
                <w:b/>
                <w:bCs/>
              </w:rPr>
            </w:pPr>
            <w:r w:rsidRPr="00D5593C">
              <w:rPr>
                <w:rFonts w:ascii="Calibri" w:hAnsi="Calibri" w:cs="Calibri"/>
                <w:b/>
                <w:bCs/>
              </w:rPr>
              <w:t>Položka</w:t>
            </w:r>
          </w:p>
        </w:tc>
        <w:tc>
          <w:tcPr>
            <w:tcW w:w="7370" w:type="dxa"/>
            <w:noWrap/>
            <w:vAlign w:val="center"/>
          </w:tcPr>
          <w:p w:rsidR="00D5593C" w:rsidRPr="00D5593C" w:rsidP="00D5593C">
            <w:pPr>
              <w:jc w:val="center"/>
              <w:rPr>
                <w:rFonts w:ascii="Calibri" w:hAnsi="Calibri" w:cs="Calibri"/>
                <w:b/>
                <w:bCs/>
              </w:rPr>
            </w:pPr>
            <w:r w:rsidRPr="00D5593C">
              <w:rPr>
                <w:rFonts w:ascii="Calibri" w:hAnsi="Calibri" w:cs="Calibri"/>
                <w:b/>
                <w:bCs/>
              </w:rPr>
              <w:t>Obsahová náplň</w:t>
            </w:r>
          </w:p>
        </w:tc>
      </w:tr>
      <w:tr w:rsidTr="0054109C">
        <w:tblPrEx>
          <w:tblW w:w="9354" w:type="dxa"/>
          <w:tblInd w:w="55" w:type="dxa"/>
          <w:tblLayout w:type="fixed"/>
          <w:tblCellMar>
            <w:left w:w="70" w:type="dxa"/>
            <w:right w:w="70" w:type="dxa"/>
          </w:tblCellMar>
          <w:tblLook w:val="00A0"/>
        </w:tblPrEx>
        <w:trPr>
          <w:cantSplit/>
          <w:trHeight w:val="339"/>
        </w:trPr>
        <w:tc>
          <w:tcPr>
            <w:tcW w:w="1984" w:type="dxa"/>
            <w:vAlign w:val="center"/>
          </w:tcPr>
          <w:p w:rsidR="00D5593C" w:rsidRPr="00D5593C" w:rsidP="00D5593C">
            <w:pPr>
              <w:rPr>
                <w:rFonts w:ascii="Calibri" w:hAnsi="Calibri" w:cs="Calibri"/>
                <w:b/>
              </w:rPr>
            </w:pPr>
            <w:r w:rsidRPr="00D5593C">
              <w:rPr>
                <w:rFonts w:ascii="Calibri" w:hAnsi="Calibri" w:cs="Calibri"/>
                <w:b/>
              </w:rPr>
              <w:t>VÝNOSOVÉ TRANSAKCE</w:t>
            </w:r>
          </w:p>
        </w:tc>
        <w:tc>
          <w:tcPr>
            <w:tcW w:w="7370" w:type="dxa"/>
          </w:tcPr>
          <w:p w:rsidR="00D5593C" w:rsidRPr="00D5593C" w:rsidP="00D5593C">
            <w:pPr>
              <w:jc w:val="both"/>
              <w:rPr>
                <w:rFonts w:ascii="Calibri" w:hAnsi="Calibri" w:cs="Calibri"/>
                <w:i/>
                <w:sz w:val="20"/>
                <w:szCs w:val="20"/>
              </w:rPr>
            </w:pPr>
            <w:r w:rsidRPr="00D5593C">
              <w:rPr>
                <w:rFonts w:ascii="Calibri" w:hAnsi="Calibri" w:cs="Calibri"/>
                <w:i/>
                <w:sz w:val="20"/>
                <w:szCs w:val="20"/>
              </w:rPr>
              <w:t>(1+2+3+4)</w:t>
            </w:r>
          </w:p>
          <w:p w:rsidR="00D5593C" w:rsidRPr="00D5593C" w:rsidP="00D5593C">
            <w:pPr>
              <w:jc w:val="both"/>
              <w:rPr>
                <w:rFonts w:ascii="Calibri" w:hAnsi="Calibri" w:cs="Calibri"/>
                <w:i/>
                <w:sz w:val="20"/>
                <w:szCs w:val="20"/>
              </w:rPr>
            </w:pPr>
          </w:p>
        </w:tc>
      </w:tr>
      <w:tr w:rsidTr="0054109C">
        <w:tblPrEx>
          <w:tblW w:w="9354" w:type="dxa"/>
          <w:tblInd w:w="55" w:type="dxa"/>
          <w:tblLayout w:type="fixed"/>
          <w:tblCellMar>
            <w:left w:w="70" w:type="dxa"/>
            <w:right w:w="70" w:type="dxa"/>
          </w:tblCellMar>
          <w:tblLook w:val="00A0"/>
        </w:tblPrEx>
        <w:trPr>
          <w:cantSplit/>
          <w:trHeight w:val="275"/>
        </w:trPr>
        <w:tc>
          <w:tcPr>
            <w:tcW w:w="1984" w:type="dxa"/>
            <w:vAlign w:val="center"/>
          </w:tcPr>
          <w:p w:rsidR="00D5593C" w:rsidRPr="00D5593C" w:rsidP="00D5593C">
            <w:pPr>
              <w:rPr>
                <w:rFonts w:ascii="Calibri" w:hAnsi="Calibri" w:cs="Calibri"/>
                <w:b/>
              </w:rPr>
            </w:pPr>
            <w:r w:rsidRPr="00D5593C">
              <w:rPr>
                <w:rFonts w:ascii="Calibri" w:hAnsi="Calibri" w:cs="Calibri"/>
                <w:b/>
              </w:rPr>
              <w:t>1 Daně</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w:t>
            </w:r>
          </w:p>
          <w:p w:rsidR="00D5593C" w:rsidRPr="00D5593C" w:rsidP="00D5593C">
            <w:pPr>
              <w:jc w:val="both"/>
              <w:rPr>
                <w:rFonts w:ascii="Calibri" w:hAnsi="Calibri" w:cs="Calibri"/>
                <w:sz w:val="20"/>
                <w:szCs w:val="20"/>
              </w:rPr>
            </w:pPr>
          </w:p>
        </w:tc>
      </w:tr>
      <w:tr w:rsidTr="0054109C">
        <w:tblPrEx>
          <w:tblW w:w="9354" w:type="dxa"/>
          <w:tblInd w:w="55" w:type="dxa"/>
          <w:tblLayout w:type="fixed"/>
          <w:tblCellMar>
            <w:left w:w="70" w:type="dxa"/>
            <w:right w:w="70" w:type="dxa"/>
          </w:tblCellMar>
          <w:tblLook w:val="00A0"/>
        </w:tblPrEx>
        <w:trPr>
          <w:cantSplit/>
          <w:trHeight w:val="70"/>
        </w:trPr>
        <w:tc>
          <w:tcPr>
            <w:tcW w:w="1984" w:type="dxa"/>
            <w:vAlign w:val="center"/>
          </w:tcPr>
          <w:p w:rsidR="00D5593C" w:rsidRPr="00D5593C" w:rsidP="00D5593C">
            <w:pPr>
              <w:rPr>
                <w:rFonts w:ascii="Calibri" w:hAnsi="Calibri" w:cs="Calibri"/>
                <w:b/>
              </w:rPr>
            </w:pPr>
            <w:r w:rsidRPr="00D5593C">
              <w:rPr>
                <w:rFonts w:ascii="Calibri" w:hAnsi="Calibri" w:cs="Calibri"/>
                <w:b/>
              </w:rPr>
              <w:t>2 Sociální příspěvky</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w:t>
            </w:r>
          </w:p>
          <w:p w:rsidR="00D5593C" w:rsidRPr="00D5593C" w:rsidP="00D5593C">
            <w:pPr>
              <w:jc w:val="both"/>
              <w:rPr>
                <w:rFonts w:ascii="Calibri" w:hAnsi="Calibri" w:cs="Calibri"/>
                <w:sz w:val="20"/>
                <w:szCs w:val="20"/>
              </w:rPr>
            </w:pPr>
          </w:p>
        </w:tc>
      </w:tr>
      <w:tr w:rsidTr="0054109C">
        <w:tblPrEx>
          <w:tblW w:w="9354" w:type="dxa"/>
          <w:tblInd w:w="55" w:type="dxa"/>
          <w:tblLayout w:type="fixed"/>
          <w:tblCellMar>
            <w:left w:w="70" w:type="dxa"/>
            <w:right w:w="70" w:type="dxa"/>
          </w:tblCellMar>
          <w:tblLook w:val="00A0"/>
        </w:tblPrEx>
        <w:trPr>
          <w:cantSplit/>
          <w:trHeight w:val="544"/>
        </w:trPr>
        <w:tc>
          <w:tcPr>
            <w:tcW w:w="1984" w:type="dxa"/>
            <w:vAlign w:val="center"/>
          </w:tcPr>
          <w:p w:rsidR="00D5593C" w:rsidRPr="00D5593C" w:rsidP="00D5593C">
            <w:pPr>
              <w:rPr>
                <w:rFonts w:ascii="Calibri" w:hAnsi="Calibri" w:cs="Calibri"/>
                <w:b/>
              </w:rPr>
            </w:pPr>
            <w:r w:rsidRPr="00D5593C">
              <w:rPr>
                <w:rFonts w:ascii="Calibri" w:hAnsi="Calibri" w:cs="Calibri"/>
                <w:b/>
              </w:rPr>
              <w:t>3 Transfery</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Položka obsahuje zejména výnosy z titulu dotací, příspěvků, subvencí, dávek, nenávratných finančních výpomocí, podpor či peněžních darů, s výjimkou daní, poplatků a jiných obdobných dávek.</w:t>
            </w:r>
          </w:p>
          <w:p w:rsidR="00D5593C" w:rsidRPr="00D5593C" w:rsidP="00D5593C">
            <w:pPr>
              <w:jc w:val="both"/>
              <w:rPr>
                <w:rFonts w:ascii="Calibri" w:hAnsi="Calibri" w:cs="Calibri"/>
                <w:sz w:val="20"/>
                <w:szCs w:val="20"/>
              </w:rPr>
            </w:pPr>
          </w:p>
        </w:tc>
      </w:tr>
      <w:tr w:rsidTr="0054109C">
        <w:tblPrEx>
          <w:tblW w:w="9354" w:type="dxa"/>
          <w:tblInd w:w="55" w:type="dxa"/>
          <w:tblLayout w:type="fixed"/>
          <w:tblCellMar>
            <w:left w:w="70" w:type="dxa"/>
            <w:right w:w="70" w:type="dxa"/>
          </w:tblCellMar>
          <w:tblLook w:val="00A0"/>
        </w:tblPrEx>
        <w:trPr>
          <w:cantSplit/>
          <w:trHeight w:val="308"/>
        </w:trPr>
        <w:tc>
          <w:tcPr>
            <w:tcW w:w="1984" w:type="dxa"/>
            <w:vAlign w:val="center"/>
          </w:tcPr>
          <w:p w:rsidR="00D5593C" w:rsidRPr="00D5593C" w:rsidP="00D5593C">
            <w:pPr>
              <w:rPr>
                <w:rFonts w:ascii="Calibri" w:hAnsi="Calibri" w:cs="Calibri"/>
                <w:b/>
              </w:rPr>
            </w:pPr>
            <w:r w:rsidRPr="00D5593C">
              <w:rPr>
                <w:rFonts w:ascii="Calibri" w:hAnsi="Calibri" w:cs="Calibri"/>
                <w:b/>
              </w:rPr>
              <w:t>4 Ostatní transakce</w:t>
            </w:r>
          </w:p>
        </w:tc>
        <w:tc>
          <w:tcPr>
            <w:tcW w:w="7370" w:type="dxa"/>
          </w:tcPr>
          <w:p w:rsidR="00D5593C" w:rsidRPr="00D5593C" w:rsidP="00D5593C">
            <w:pPr>
              <w:jc w:val="both"/>
              <w:rPr>
                <w:rFonts w:ascii="Calibri" w:hAnsi="Calibri" w:cs="Calibri"/>
                <w:i/>
                <w:sz w:val="20"/>
                <w:szCs w:val="20"/>
              </w:rPr>
            </w:pPr>
            <w:r w:rsidRPr="00D5593C">
              <w:rPr>
                <w:rFonts w:ascii="Calibri" w:hAnsi="Calibri" w:cs="Calibri"/>
                <w:i/>
                <w:sz w:val="20"/>
                <w:szCs w:val="20"/>
              </w:rPr>
              <w:t>(41+42+43+44)</w:t>
            </w:r>
          </w:p>
          <w:p w:rsidR="00D5593C" w:rsidRPr="00D5593C" w:rsidP="00D5593C">
            <w:pPr>
              <w:jc w:val="both"/>
              <w:rPr>
                <w:rFonts w:ascii="Calibri" w:hAnsi="Calibri" w:cs="Calibri"/>
                <w:i/>
                <w:sz w:val="20"/>
                <w:szCs w:val="20"/>
              </w:rPr>
            </w:pPr>
          </w:p>
        </w:tc>
      </w:tr>
      <w:tr w:rsidTr="0054109C">
        <w:tblPrEx>
          <w:tblW w:w="9354" w:type="dxa"/>
          <w:tblInd w:w="55" w:type="dxa"/>
          <w:tblLayout w:type="fixed"/>
          <w:tblCellMar>
            <w:left w:w="70" w:type="dxa"/>
            <w:right w:w="70" w:type="dxa"/>
          </w:tblCellMar>
          <w:tblLook w:val="00A0"/>
        </w:tblPrEx>
        <w:trPr>
          <w:cantSplit/>
          <w:trHeight w:val="269"/>
        </w:trPr>
        <w:tc>
          <w:tcPr>
            <w:tcW w:w="1984" w:type="dxa"/>
            <w:vAlign w:val="center"/>
          </w:tcPr>
          <w:p w:rsidR="00D5593C" w:rsidRPr="00D5593C" w:rsidP="00D5593C">
            <w:pPr>
              <w:rPr>
                <w:rFonts w:ascii="Calibri" w:hAnsi="Calibri" w:cs="Calibri"/>
                <w:b/>
              </w:rPr>
            </w:pPr>
            <w:r w:rsidRPr="00D5593C">
              <w:rPr>
                <w:rFonts w:ascii="Calibri" w:hAnsi="Calibri" w:cs="Calibri"/>
                <w:b/>
              </w:rPr>
              <w:t>41 Úroky</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Položka obsahuje výnosy z úroků včetně úroků z dluhových cenných papírů a poskytnutých půjček.</w:t>
            </w:r>
          </w:p>
          <w:p w:rsidR="00D5593C" w:rsidRPr="00D5593C" w:rsidP="00D5593C">
            <w:pPr>
              <w:jc w:val="both"/>
              <w:rPr>
                <w:rFonts w:ascii="Calibri" w:hAnsi="Calibri" w:cs="Calibri"/>
                <w:sz w:val="20"/>
                <w:szCs w:val="20"/>
              </w:rPr>
            </w:pPr>
          </w:p>
        </w:tc>
      </w:tr>
      <w:tr w:rsidTr="0054109C">
        <w:tblPrEx>
          <w:tblW w:w="9354" w:type="dxa"/>
          <w:tblInd w:w="55" w:type="dxa"/>
          <w:tblLayout w:type="fixed"/>
          <w:tblCellMar>
            <w:left w:w="70" w:type="dxa"/>
            <w:right w:w="70" w:type="dxa"/>
          </w:tblCellMar>
          <w:tblLook w:val="00A0"/>
        </w:tblPrEx>
        <w:trPr>
          <w:cantSplit/>
          <w:trHeight w:val="70"/>
        </w:trPr>
        <w:tc>
          <w:tcPr>
            <w:tcW w:w="1984" w:type="dxa"/>
            <w:vAlign w:val="center"/>
          </w:tcPr>
          <w:p w:rsidR="00D5593C" w:rsidRPr="00D5593C" w:rsidP="00D5593C">
            <w:pPr>
              <w:rPr>
                <w:rFonts w:ascii="Calibri" w:hAnsi="Calibri" w:cs="Calibri"/>
                <w:b/>
              </w:rPr>
            </w:pPr>
            <w:r w:rsidRPr="00D5593C">
              <w:rPr>
                <w:rFonts w:ascii="Calibri" w:hAnsi="Calibri" w:cs="Calibri"/>
                <w:b/>
              </w:rPr>
              <w:t>42 Dividendy</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w:t>
            </w:r>
          </w:p>
          <w:p w:rsidR="00D5593C" w:rsidRPr="00D5593C" w:rsidP="00D5593C">
            <w:pPr>
              <w:jc w:val="both"/>
              <w:rPr>
                <w:rFonts w:ascii="Calibri" w:hAnsi="Calibri" w:cs="Calibri"/>
                <w:sz w:val="20"/>
                <w:szCs w:val="20"/>
              </w:rPr>
            </w:pPr>
          </w:p>
        </w:tc>
      </w:tr>
      <w:tr w:rsidTr="0054109C">
        <w:tblPrEx>
          <w:tblW w:w="9354" w:type="dxa"/>
          <w:tblInd w:w="55" w:type="dxa"/>
          <w:tblLayout w:type="fixed"/>
          <w:tblCellMar>
            <w:left w:w="70" w:type="dxa"/>
            <w:right w:w="70" w:type="dxa"/>
          </w:tblCellMar>
          <w:tblLook w:val="00A0"/>
        </w:tblPrEx>
        <w:trPr>
          <w:cantSplit/>
          <w:trHeight w:val="924"/>
        </w:trPr>
        <w:tc>
          <w:tcPr>
            <w:tcW w:w="1984" w:type="dxa"/>
            <w:vAlign w:val="center"/>
          </w:tcPr>
          <w:p w:rsidR="00D5593C" w:rsidRPr="00D5593C" w:rsidP="00D5593C">
            <w:pPr>
              <w:rPr>
                <w:rFonts w:ascii="Calibri" w:hAnsi="Calibri" w:cs="Calibri"/>
                <w:b/>
              </w:rPr>
            </w:pPr>
            <w:r w:rsidRPr="00D5593C">
              <w:rPr>
                <w:rFonts w:ascii="Calibri" w:hAnsi="Calibri" w:cs="Calibri"/>
                <w:b/>
              </w:rPr>
              <w:t>43 Tržby z prodeje zboží a služeb</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Tato kategorie zahrnuje např. výnosy z prodeje zboží, vlastních výrobků, služeb, z pronájmu. Dále obsahuje náhrady za manka a škody, přebytky na majetku s výjimkou přebytků dlouhodobého nehmotného a hmotného majetku.</w:t>
            </w:r>
          </w:p>
          <w:p w:rsidR="00D5593C" w:rsidRPr="00D5593C" w:rsidP="00D5593C">
            <w:pPr>
              <w:jc w:val="both"/>
              <w:rPr>
                <w:rFonts w:ascii="Calibri" w:hAnsi="Calibri" w:cs="Calibri"/>
                <w:i/>
                <w:sz w:val="20"/>
                <w:szCs w:val="20"/>
              </w:rPr>
            </w:pPr>
          </w:p>
        </w:tc>
      </w:tr>
      <w:tr w:rsidTr="0054109C">
        <w:tblPrEx>
          <w:tblW w:w="9354" w:type="dxa"/>
          <w:tblInd w:w="55" w:type="dxa"/>
          <w:tblLayout w:type="fixed"/>
          <w:tblCellMar>
            <w:left w:w="70" w:type="dxa"/>
            <w:right w:w="70" w:type="dxa"/>
          </w:tblCellMar>
          <w:tblLook w:val="00A0"/>
        </w:tblPrEx>
        <w:trPr>
          <w:cantSplit/>
          <w:trHeight w:val="393"/>
        </w:trPr>
        <w:tc>
          <w:tcPr>
            <w:tcW w:w="1984" w:type="dxa"/>
            <w:vAlign w:val="center"/>
          </w:tcPr>
          <w:p w:rsidR="00D5593C" w:rsidRPr="00D5593C" w:rsidP="00D5593C">
            <w:pPr>
              <w:rPr>
                <w:rFonts w:ascii="Calibri" w:hAnsi="Calibri" w:cs="Calibri"/>
                <w:b/>
              </w:rPr>
            </w:pPr>
            <w:r w:rsidRPr="00D5593C">
              <w:rPr>
                <w:rFonts w:ascii="Calibri" w:hAnsi="Calibri" w:cs="Calibri"/>
                <w:b/>
              </w:rPr>
              <w:t>44 Ostatní</w:t>
            </w:r>
          </w:p>
        </w:tc>
        <w:tc>
          <w:tcPr>
            <w:tcW w:w="7370" w:type="dxa"/>
          </w:tcPr>
          <w:p w:rsidR="00D5593C" w:rsidRPr="00D5593C" w:rsidP="00D5593C">
            <w:pPr>
              <w:rPr>
                <w:rFonts w:ascii="Calibri" w:hAnsi="Calibri" w:cs="Calibri"/>
                <w:sz w:val="20"/>
                <w:szCs w:val="20"/>
              </w:rPr>
            </w:pPr>
            <w:r w:rsidRPr="00D5593C">
              <w:rPr>
                <w:rFonts w:ascii="Calibri" w:hAnsi="Calibri" w:cs="Calibri"/>
                <w:sz w:val="20"/>
                <w:szCs w:val="20"/>
              </w:rPr>
              <w:t>Tato kategorie obsahuje výnosy z pokut, penále a úroků z prodlení (s výjimkou úroků z prodlení podle smlouvy o úvěru) a ostatní finanční výnosy.</w:t>
            </w:r>
          </w:p>
          <w:p w:rsidR="00D5593C" w:rsidRPr="00D5593C" w:rsidP="00D5593C">
            <w:pPr>
              <w:rPr>
                <w:rFonts w:ascii="Calibri" w:hAnsi="Calibri" w:cs="Calibri"/>
                <w:i/>
                <w:sz w:val="20"/>
                <w:szCs w:val="20"/>
              </w:rPr>
            </w:pPr>
          </w:p>
        </w:tc>
      </w:tr>
      <w:tr w:rsidTr="0054109C">
        <w:tblPrEx>
          <w:tblW w:w="9354" w:type="dxa"/>
          <w:tblInd w:w="55" w:type="dxa"/>
          <w:tblLayout w:type="fixed"/>
          <w:tblCellMar>
            <w:left w:w="70" w:type="dxa"/>
            <w:right w:w="70" w:type="dxa"/>
          </w:tblCellMar>
          <w:tblLook w:val="00A0"/>
        </w:tblPrEx>
        <w:trPr>
          <w:cantSplit/>
          <w:trHeight w:val="155"/>
        </w:trPr>
        <w:tc>
          <w:tcPr>
            <w:tcW w:w="1984" w:type="dxa"/>
            <w:vAlign w:val="center"/>
          </w:tcPr>
          <w:p w:rsidR="00D5593C" w:rsidRPr="00D5593C" w:rsidP="00D5593C">
            <w:pPr>
              <w:rPr>
                <w:rFonts w:ascii="Calibri" w:hAnsi="Calibri" w:cs="Calibri"/>
                <w:b/>
              </w:rPr>
            </w:pPr>
            <w:r w:rsidRPr="00D5593C">
              <w:rPr>
                <w:rFonts w:ascii="Calibri" w:hAnsi="Calibri" w:cs="Calibri"/>
                <w:b/>
              </w:rPr>
              <w:t>NÁKLADOVÉ TRANSAKCE</w:t>
            </w:r>
          </w:p>
        </w:tc>
        <w:tc>
          <w:tcPr>
            <w:tcW w:w="7370" w:type="dxa"/>
          </w:tcPr>
          <w:p w:rsidR="00D5593C" w:rsidRPr="00D5593C" w:rsidP="00D5593C">
            <w:pPr>
              <w:jc w:val="both"/>
              <w:rPr>
                <w:rFonts w:ascii="Calibri" w:hAnsi="Calibri" w:cs="Calibri"/>
                <w:i/>
                <w:sz w:val="20"/>
                <w:szCs w:val="20"/>
              </w:rPr>
            </w:pPr>
            <w:r w:rsidRPr="00D5593C">
              <w:rPr>
                <w:rFonts w:ascii="Calibri" w:hAnsi="Calibri" w:cs="Calibri"/>
                <w:sz w:val="20"/>
                <w:szCs w:val="20"/>
              </w:rPr>
              <w:t>(</w:t>
            </w:r>
            <w:r w:rsidRPr="00D5593C">
              <w:rPr>
                <w:rFonts w:ascii="Calibri" w:hAnsi="Calibri" w:cs="Calibri"/>
                <w:i/>
                <w:sz w:val="20"/>
                <w:szCs w:val="20"/>
              </w:rPr>
              <w:t>5+6+7+8+9+10+11)</w:t>
            </w:r>
          </w:p>
          <w:p w:rsidR="00D5593C" w:rsidRPr="00D5593C" w:rsidP="00D5593C">
            <w:pPr>
              <w:jc w:val="both"/>
              <w:rPr>
                <w:rFonts w:ascii="Calibri" w:hAnsi="Calibri" w:cs="Calibri"/>
                <w:sz w:val="20"/>
                <w:szCs w:val="20"/>
              </w:rPr>
            </w:pPr>
          </w:p>
        </w:tc>
      </w:tr>
      <w:tr w:rsidTr="0054109C">
        <w:tblPrEx>
          <w:tblW w:w="9354" w:type="dxa"/>
          <w:tblInd w:w="55" w:type="dxa"/>
          <w:tblLayout w:type="fixed"/>
          <w:tblCellMar>
            <w:left w:w="70" w:type="dxa"/>
            <w:right w:w="70" w:type="dxa"/>
          </w:tblCellMar>
          <w:tblLook w:val="00A0"/>
        </w:tblPrEx>
        <w:trPr>
          <w:cantSplit/>
          <w:trHeight w:val="1283"/>
        </w:trPr>
        <w:tc>
          <w:tcPr>
            <w:tcW w:w="1984" w:type="dxa"/>
            <w:vAlign w:val="center"/>
          </w:tcPr>
          <w:p w:rsidR="00D5593C" w:rsidRPr="00D5593C" w:rsidP="00D5593C">
            <w:pPr>
              <w:rPr>
                <w:rFonts w:ascii="Calibri" w:hAnsi="Calibri" w:cs="Calibri"/>
                <w:b/>
              </w:rPr>
            </w:pPr>
            <w:r w:rsidRPr="00D5593C">
              <w:rPr>
                <w:rFonts w:ascii="Calibri" w:hAnsi="Calibri" w:cs="Calibri"/>
                <w:b/>
              </w:rPr>
              <w:t>5 Náhrady zaměstnancům</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Tato položka obsahuje osobní náklady, např. náklady na veškeré požitky zaměstnanců ze závislé činnosti a náhrady mzdy za dočasnou pracovní neschopnost, náklady z titulu zákonné povinnosti zaměstnavatele plnit z titulu sociálního pojištění a veřejného zdravotního pojištění, apod.</w:t>
            </w:r>
          </w:p>
          <w:p w:rsidR="00D5593C" w:rsidRPr="00D5593C" w:rsidP="00D5593C">
            <w:pPr>
              <w:jc w:val="both"/>
              <w:rPr>
                <w:rFonts w:ascii="Calibri" w:hAnsi="Calibri" w:cs="Calibri"/>
                <w:i/>
                <w:sz w:val="20"/>
                <w:szCs w:val="20"/>
              </w:rPr>
            </w:pPr>
          </w:p>
        </w:tc>
      </w:tr>
      <w:tr w:rsidTr="0054109C">
        <w:tblPrEx>
          <w:tblW w:w="9354" w:type="dxa"/>
          <w:tblInd w:w="55" w:type="dxa"/>
          <w:tblLayout w:type="fixed"/>
          <w:tblCellMar>
            <w:left w:w="70" w:type="dxa"/>
            <w:right w:w="70" w:type="dxa"/>
          </w:tblCellMar>
          <w:tblLook w:val="00A0"/>
        </w:tblPrEx>
        <w:trPr>
          <w:cantSplit/>
          <w:trHeight w:val="412"/>
        </w:trPr>
        <w:tc>
          <w:tcPr>
            <w:tcW w:w="1984" w:type="dxa"/>
            <w:vAlign w:val="center"/>
          </w:tcPr>
          <w:p w:rsidR="00D5593C" w:rsidRPr="00D5593C" w:rsidP="00D5593C">
            <w:pPr>
              <w:rPr>
                <w:rFonts w:ascii="Calibri" w:hAnsi="Calibri" w:cs="Calibri"/>
                <w:b/>
              </w:rPr>
            </w:pPr>
            <w:r w:rsidRPr="00D5593C">
              <w:rPr>
                <w:rFonts w:ascii="Calibri" w:hAnsi="Calibri" w:cs="Calibri"/>
                <w:b/>
              </w:rPr>
              <w:t>6 Spotřeba zboží a služeb</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Tato položka zahrnuje spotřebované nákupy a služby, např. náklady na materiál, energie, prodané zboží, opravy a udržování, cestovné, apod.</w:t>
            </w:r>
          </w:p>
          <w:p w:rsidR="00D5593C" w:rsidRPr="00D5593C" w:rsidP="00D5593C">
            <w:pPr>
              <w:jc w:val="both"/>
              <w:rPr>
                <w:rFonts w:ascii="Calibri" w:hAnsi="Calibri" w:cs="Calibri"/>
                <w:sz w:val="20"/>
                <w:szCs w:val="20"/>
              </w:rPr>
            </w:pPr>
          </w:p>
        </w:tc>
      </w:tr>
      <w:tr w:rsidTr="0054109C">
        <w:tblPrEx>
          <w:tblW w:w="9354" w:type="dxa"/>
          <w:tblInd w:w="55" w:type="dxa"/>
          <w:tblLayout w:type="fixed"/>
          <w:tblCellMar>
            <w:left w:w="70" w:type="dxa"/>
            <w:right w:w="70" w:type="dxa"/>
          </w:tblCellMar>
          <w:tblLook w:val="00A0"/>
        </w:tblPrEx>
        <w:trPr>
          <w:cantSplit/>
          <w:trHeight w:val="1121"/>
        </w:trPr>
        <w:tc>
          <w:tcPr>
            <w:tcW w:w="1984" w:type="dxa"/>
            <w:vAlign w:val="center"/>
          </w:tcPr>
          <w:p w:rsidR="00D5593C" w:rsidRPr="00D5593C" w:rsidP="00D5593C">
            <w:pPr>
              <w:rPr>
                <w:rFonts w:ascii="Calibri" w:hAnsi="Calibri" w:cs="Calibri"/>
                <w:b/>
              </w:rPr>
            </w:pPr>
            <w:r w:rsidRPr="00D5593C">
              <w:rPr>
                <w:rFonts w:ascii="Calibri" w:hAnsi="Calibri" w:cs="Calibri"/>
                <w:b/>
              </w:rPr>
              <w:t>7 Spotřeba fixního kapitálu</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Položka obsahuje náklady vyjadřující promítnutí ocenění dlouhodobého majetku v průběhu běžného účetního období v souvislosti s jeho užíváním účetní jednotkou, a to zejména podle odpisového plánu, a dále zůstatkovou cenu dlouhodobého nehmotného a hmotného majetku při jeho vyřazení, zejména z důvodu úplného opotřebení.</w:t>
            </w:r>
          </w:p>
          <w:p w:rsidR="00D5593C" w:rsidRPr="00D5593C" w:rsidP="00D5593C">
            <w:pPr>
              <w:jc w:val="both"/>
              <w:rPr>
                <w:rFonts w:ascii="Calibri" w:hAnsi="Calibri" w:cs="Calibri"/>
                <w:i/>
                <w:sz w:val="20"/>
                <w:szCs w:val="20"/>
              </w:rPr>
            </w:pPr>
          </w:p>
        </w:tc>
      </w:tr>
      <w:tr w:rsidTr="0054109C">
        <w:tblPrEx>
          <w:tblW w:w="9354" w:type="dxa"/>
          <w:tblInd w:w="55" w:type="dxa"/>
          <w:tblLayout w:type="fixed"/>
          <w:tblCellMar>
            <w:left w:w="70" w:type="dxa"/>
            <w:right w:w="70" w:type="dxa"/>
          </w:tblCellMar>
          <w:tblLook w:val="00A0"/>
        </w:tblPrEx>
        <w:trPr>
          <w:cantSplit/>
          <w:trHeight w:val="710"/>
        </w:trPr>
        <w:tc>
          <w:tcPr>
            <w:tcW w:w="1984" w:type="dxa"/>
            <w:vAlign w:val="center"/>
          </w:tcPr>
          <w:p w:rsidR="00D5593C" w:rsidRPr="00D5593C" w:rsidP="00D5593C">
            <w:pPr>
              <w:rPr>
                <w:rFonts w:ascii="Calibri" w:hAnsi="Calibri" w:cs="Calibri"/>
                <w:b/>
              </w:rPr>
            </w:pPr>
            <w:r w:rsidRPr="00D5593C">
              <w:rPr>
                <w:rFonts w:ascii="Calibri" w:hAnsi="Calibri" w:cs="Calibri"/>
                <w:b/>
              </w:rPr>
              <w:t>8 Úroky</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Položka obsahuje zejména náklady z titulu úroků z úvěrů, půjček a vydaných dluhových cenných papírů.</w:t>
            </w:r>
          </w:p>
          <w:p w:rsidR="00D5593C" w:rsidRPr="00D5593C" w:rsidP="00D5593C">
            <w:pPr>
              <w:jc w:val="both"/>
              <w:rPr>
                <w:rFonts w:ascii="Calibri" w:hAnsi="Calibri" w:cs="Calibri"/>
                <w:i/>
                <w:sz w:val="20"/>
                <w:szCs w:val="20"/>
              </w:rPr>
            </w:pPr>
          </w:p>
        </w:tc>
      </w:tr>
      <w:tr w:rsidTr="0054109C">
        <w:tblPrEx>
          <w:tblW w:w="9354" w:type="dxa"/>
          <w:tblInd w:w="55" w:type="dxa"/>
          <w:tblLayout w:type="fixed"/>
          <w:tblCellMar>
            <w:left w:w="70" w:type="dxa"/>
            <w:right w:w="70" w:type="dxa"/>
          </w:tblCellMar>
          <w:tblLook w:val="00A0"/>
        </w:tblPrEx>
        <w:trPr>
          <w:cantSplit/>
          <w:trHeight w:val="449"/>
        </w:trPr>
        <w:tc>
          <w:tcPr>
            <w:tcW w:w="1984" w:type="dxa"/>
            <w:vAlign w:val="center"/>
          </w:tcPr>
          <w:p w:rsidR="00D5593C" w:rsidRPr="00D5593C" w:rsidP="00D5593C">
            <w:pPr>
              <w:rPr>
                <w:rFonts w:ascii="Calibri" w:hAnsi="Calibri" w:cs="Calibri"/>
                <w:b/>
              </w:rPr>
            </w:pPr>
            <w:r w:rsidRPr="00D5593C">
              <w:rPr>
                <w:rFonts w:ascii="Calibri" w:hAnsi="Calibri" w:cs="Calibri"/>
                <w:b/>
              </w:rPr>
              <w:t>9 Transfery</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Položka obsahuje zejména náklady z titulu dotací, příspěvků, subvencí, dávek, nenávratných finančních výpomocí, podpor či peněžních darů, a to bez ohledu na účel jejich poskytnutí.</w:t>
            </w:r>
          </w:p>
          <w:p w:rsidR="00D5593C" w:rsidRPr="00D5593C" w:rsidP="00D5593C">
            <w:pPr>
              <w:jc w:val="both"/>
              <w:rPr>
                <w:rFonts w:ascii="Calibri" w:hAnsi="Calibri" w:cs="Calibri"/>
                <w:sz w:val="20"/>
                <w:szCs w:val="20"/>
              </w:rPr>
            </w:pPr>
          </w:p>
        </w:tc>
      </w:tr>
      <w:tr w:rsidTr="0054109C">
        <w:tblPrEx>
          <w:tblW w:w="9354" w:type="dxa"/>
          <w:tblInd w:w="55" w:type="dxa"/>
          <w:tblLayout w:type="fixed"/>
          <w:tblCellMar>
            <w:left w:w="70" w:type="dxa"/>
            <w:right w:w="70" w:type="dxa"/>
          </w:tblCellMar>
          <w:tblLook w:val="00A0"/>
        </w:tblPrEx>
        <w:trPr>
          <w:cantSplit/>
          <w:trHeight w:val="70"/>
        </w:trPr>
        <w:tc>
          <w:tcPr>
            <w:tcW w:w="1984" w:type="dxa"/>
            <w:vAlign w:val="center"/>
          </w:tcPr>
          <w:p w:rsidR="00D5593C" w:rsidRPr="00D5593C" w:rsidP="00D5593C">
            <w:pPr>
              <w:rPr>
                <w:rFonts w:ascii="Calibri" w:hAnsi="Calibri" w:cs="Calibri"/>
                <w:b/>
              </w:rPr>
            </w:pPr>
            <w:r w:rsidRPr="00D5593C">
              <w:rPr>
                <w:rFonts w:ascii="Calibri" w:hAnsi="Calibri" w:cs="Calibri"/>
                <w:b/>
              </w:rPr>
              <w:t>10 Sociální dávky</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w:t>
            </w:r>
          </w:p>
          <w:p w:rsidR="00D5593C" w:rsidRPr="00D5593C" w:rsidP="00D5593C">
            <w:pPr>
              <w:jc w:val="both"/>
              <w:rPr>
                <w:rFonts w:ascii="Calibri" w:hAnsi="Calibri" w:cs="Calibri"/>
                <w:sz w:val="20"/>
                <w:szCs w:val="20"/>
              </w:rPr>
            </w:pPr>
          </w:p>
        </w:tc>
      </w:tr>
      <w:tr w:rsidTr="0054109C">
        <w:tblPrEx>
          <w:tblW w:w="9354" w:type="dxa"/>
          <w:tblInd w:w="55" w:type="dxa"/>
          <w:tblLayout w:type="fixed"/>
          <w:tblCellMar>
            <w:left w:w="70" w:type="dxa"/>
            <w:right w:w="70" w:type="dxa"/>
          </w:tblCellMar>
          <w:tblLook w:val="00A0"/>
        </w:tblPrEx>
        <w:trPr>
          <w:cantSplit/>
          <w:trHeight w:val="596"/>
        </w:trPr>
        <w:tc>
          <w:tcPr>
            <w:tcW w:w="1984" w:type="dxa"/>
            <w:vAlign w:val="center"/>
          </w:tcPr>
          <w:p w:rsidR="00D5593C" w:rsidRPr="00D5593C" w:rsidP="00D5593C">
            <w:pPr>
              <w:rPr>
                <w:rFonts w:ascii="Calibri" w:hAnsi="Calibri" w:cs="Calibri"/>
                <w:b/>
              </w:rPr>
            </w:pPr>
            <w:r w:rsidRPr="00D5593C">
              <w:rPr>
                <w:rFonts w:ascii="Calibri" w:hAnsi="Calibri" w:cs="Calibri"/>
                <w:b/>
              </w:rPr>
              <w:t>11 Jiné transakce</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Položka zahrnuje např. náklady na daň z příjmů, daň z nemovitostí, daň silniční, poplatky, pokuty, penále, dary a ostatní finanční náklady.</w:t>
            </w:r>
          </w:p>
          <w:p w:rsidR="00D5593C" w:rsidRPr="00D5593C" w:rsidP="00D5593C">
            <w:pPr>
              <w:jc w:val="both"/>
              <w:rPr>
                <w:rFonts w:ascii="Calibri" w:hAnsi="Calibri" w:cs="Calibri"/>
                <w:i/>
                <w:sz w:val="20"/>
                <w:szCs w:val="20"/>
              </w:rPr>
            </w:pPr>
          </w:p>
        </w:tc>
      </w:tr>
      <w:tr w:rsidTr="0054109C">
        <w:tblPrEx>
          <w:tblW w:w="9354" w:type="dxa"/>
          <w:tblInd w:w="55" w:type="dxa"/>
          <w:tblLayout w:type="fixed"/>
          <w:tblCellMar>
            <w:left w:w="70" w:type="dxa"/>
            <w:right w:w="70" w:type="dxa"/>
          </w:tblCellMar>
          <w:tblLook w:val="00A0"/>
        </w:tblPrEx>
        <w:trPr>
          <w:cantSplit/>
          <w:trHeight w:val="76"/>
        </w:trPr>
        <w:tc>
          <w:tcPr>
            <w:tcW w:w="1984" w:type="dxa"/>
            <w:vAlign w:val="center"/>
          </w:tcPr>
          <w:p w:rsidR="00D5593C" w:rsidRPr="00D5593C" w:rsidP="00D5593C">
            <w:pPr>
              <w:rPr>
                <w:rFonts w:ascii="Calibri" w:hAnsi="Calibri" w:cs="Calibri"/>
                <w:b/>
              </w:rPr>
            </w:pPr>
            <w:r w:rsidRPr="00D5593C">
              <w:rPr>
                <w:rFonts w:ascii="Calibri" w:hAnsi="Calibri" w:cs="Calibri"/>
                <w:b/>
              </w:rPr>
              <w:t>SALDO</w:t>
            </w:r>
          </w:p>
        </w:tc>
        <w:tc>
          <w:tcPr>
            <w:tcW w:w="7370" w:type="dxa"/>
          </w:tcPr>
          <w:p w:rsidR="00D5593C" w:rsidRPr="00D5593C" w:rsidP="00D5593C">
            <w:pPr>
              <w:jc w:val="both"/>
              <w:rPr>
                <w:rFonts w:ascii="Calibri" w:hAnsi="Calibri" w:cs="Calibri"/>
                <w:sz w:val="20"/>
                <w:szCs w:val="20"/>
              </w:rPr>
            </w:pPr>
            <w:r w:rsidRPr="00D5593C">
              <w:rPr>
                <w:rFonts w:ascii="Calibri" w:hAnsi="Calibri" w:cs="Calibri"/>
                <w:sz w:val="20"/>
                <w:szCs w:val="20"/>
              </w:rPr>
              <w:t>Jedná se o rozdíl mezi „Transakcemi ve výnosech“ a „Transakcemi v nákladech“</w:t>
            </w:r>
          </w:p>
          <w:p w:rsidR="00D5593C" w:rsidRPr="00D5593C" w:rsidP="00D5593C">
            <w:pPr>
              <w:jc w:val="both"/>
              <w:rPr>
                <w:rFonts w:ascii="Calibri" w:hAnsi="Calibri" w:cs="Calibri"/>
                <w:sz w:val="20"/>
                <w:szCs w:val="20"/>
              </w:rPr>
            </w:pPr>
          </w:p>
          <w:p w:rsidR="00D5593C" w:rsidRPr="00D5593C" w:rsidP="00D5593C">
            <w:pPr>
              <w:jc w:val="both"/>
              <w:rPr>
                <w:rFonts w:ascii="Calibri" w:hAnsi="Calibri" w:cs="Calibri"/>
                <w:i/>
                <w:sz w:val="20"/>
                <w:szCs w:val="20"/>
              </w:rPr>
            </w:pPr>
            <w:r w:rsidRPr="00D5593C">
              <w:rPr>
                <w:rFonts w:ascii="Calibri" w:hAnsi="Calibri" w:cs="Calibri"/>
                <w:i/>
                <w:sz w:val="20"/>
                <w:szCs w:val="20"/>
              </w:rPr>
              <w:t>(VÝNOSOVÉ TRANSAKCE - NÁKLADOVÉ TRANSAKCE)</w:t>
            </w:r>
          </w:p>
          <w:p w:rsidR="00D5593C" w:rsidRPr="00D5593C" w:rsidP="00D5593C">
            <w:pPr>
              <w:jc w:val="both"/>
              <w:rPr>
                <w:rFonts w:ascii="Calibri" w:hAnsi="Calibri" w:cs="Calibri"/>
                <w:i/>
                <w:sz w:val="20"/>
                <w:szCs w:val="20"/>
              </w:rPr>
            </w:pPr>
          </w:p>
        </w:tc>
      </w:tr>
      <w:tr w:rsidTr="0054109C">
        <w:tblPrEx>
          <w:tblW w:w="9354" w:type="dxa"/>
          <w:tblInd w:w="55" w:type="dxa"/>
          <w:tblLayout w:type="fixed"/>
          <w:tblCellMar>
            <w:left w:w="70" w:type="dxa"/>
            <w:right w:w="70" w:type="dxa"/>
          </w:tblCellMar>
          <w:tblLook w:val="00A0"/>
        </w:tblPrEx>
        <w:trPr>
          <w:cantSplit/>
          <w:trHeight w:val="70"/>
        </w:trPr>
        <w:tc>
          <w:tcPr>
            <w:tcW w:w="1984" w:type="dxa"/>
            <w:vAlign w:val="center"/>
          </w:tcPr>
          <w:p w:rsidR="00D5593C" w:rsidRPr="00D5593C" w:rsidP="00D5593C">
            <w:pPr>
              <w:rPr>
                <w:rFonts w:ascii="Calibri" w:hAnsi="Calibri" w:cs="Calibri"/>
                <w:b/>
              </w:rPr>
            </w:pPr>
            <w:r w:rsidRPr="00D5593C">
              <w:rPr>
                <w:rFonts w:ascii="Calibri" w:hAnsi="Calibri" w:cs="Calibri"/>
                <w:b/>
              </w:rPr>
              <w:t>NEZAHRNUTO</w:t>
            </w:r>
          </w:p>
        </w:tc>
        <w:tc>
          <w:tcPr>
            <w:tcW w:w="7370" w:type="dxa"/>
          </w:tcPr>
          <w:p w:rsidR="00F666F9" w:rsidRPr="00F666F9" w:rsidP="00F666F9">
            <w:pPr>
              <w:jc w:val="both"/>
              <w:rPr>
                <w:rFonts w:ascii="Calibri" w:hAnsi="Calibri" w:cs="Calibri"/>
                <w:sz w:val="20"/>
                <w:szCs w:val="20"/>
              </w:rPr>
            </w:pPr>
            <w:r w:rsidRPr="00F666F9">
              <w:rPr>
                <w:rFonts w:ascii="Calibri" w:hAnsi="Calibri" w:cs="Calibri"/>
                <w:sz w:val="20"/>
                <w:szCs w:val="20"/>
              </w:rPr>
              <w:t>-</w:t>
            </w:r>
          </w:p>
          <w:p w:rsidR="00D5593C" w:rsidRPr="00D5593C" w:rsidP="00D5593C">
            <w:pPr>
              <w:rPr>
                <w:rFonts w:ascii="Calibri" w:hAnsi="Calibri" w:cs="Calibri"/>
                <w:i/>
                <w:sz w:val="20"/>
                <w:szCs w:val="20"/>
              </w:rPr>
            </w:pPr>
          </w:p>
        </w:tc>
      </w:tr>
    </w:tbl>
    <w:p w:rsidR="003466BD" w:rsidRPr="00421ED2" w:rsidP="00421ED2">
      <w:pPr>
        <w:autoSpaceDE w:val="0"/>
        <w:autoSpaceDN w:val="0"/>
        <w:adjustRightInd w:val="0"/>
        <w:rPr>
          <w:rFonts w:ascii="Calibri" w:hAnsi="Calibri"/>
          <w:sz w:val="20"/>
          <w:szCs w:val="20"/>
        </w:rPr>
      </w:pPr>
    </w:p>
    <w:sectPr w:rsidSect="00E87F51">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6BD" w:rsidRPr="00CB6EB1">
    <w:pPr>
      <w:pStyle w:val="Footer"/>
      <w:jc w:val="center"/>
      <w:rPr>
        <w:rFonts w:ascii="Calibri" w:hAnsi="Calibri"/>
        <w:sz w:val="22"/>
        <w:szCs w:val="22"/>
      </w:rPr>
    </w:pPr>
    <w:r w:rsidRPr="00CB6EB1">
      <w:rPr>
        <w:rFonts w:ascii="Calibri" w:hAnsi="Calibri"/>
        <w:sz w:val="22"/>
        <w:szCs w:val="22"/>
      </w:rPr>
      <w:fldChar w:fldCharType="begin"/>
    </w:r>
    <w:r w:rsidRPr="00CB6EB1">
      <w:rPr>
        <w:rFonts w:ascii="Calibri" w:hAnsi="Calibri"/>
        <w:sz w:val="22"/>
        <w:szCs w:val="22"/>
      </w:rPr>
      <w:instrText>PAGE   \* MERGEFORMAT</w:instrText>
    </w:r>
    <w:r w:rsidRPr="00CB6EB1">
      <w:rPr>
        <w:rFonts w:ascii="Calibri" w:hAnsi="Calibri"/>
        <w:sz w:val="22"/>
        <w:szCs w:val="22"/>
      </w:rPr>
      <w:fldChar w:fldCharType="separate"/>
    </w:r>
    <w:r w:rsidR="009C573F">
      <w:rPr>
        <w:rFonts w:ascii="Calibri" w:hAnsi="Calibri"/>
        <w:noProof/>
        <w:sz w:val="22"/>
        <w:szCs w:val="22"/>
      </w:rPr>
      <w:t>1</w:t>
    </w:r>
    <w:r w:rsidRPr="00CB6EB1">
      <w:rPr>
        <w:rFonts w:ascii="Calibri" w:hAnsi="Calibri"/>
        <w:noProof/>
        <w:sz w:val="22"/>
        <w:szCs w:val="22"/>
      </w:rPr>
      <w:fldChar w:fldCharType="end"/>
    </w:r>
  </w:p>
  <w:p w:rsidR="003466BD" w:rsidRPr="00CB6EB1">
    <w:pPr>
      <w:pStyle w:val="Footer"/>
      <w:rPr>
        <w:rFonts w:ascii="Calibri" w:hAnsi="Calibri"/>
        <w:sz w:val="22"/>
        <w:szCs w:val="2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345B4A"/>
    <w:multiLevelType w:val="hybridMultilevel"/>
    <w:tmpl w:val="469EACDC"/>
    <w:lvl w:ilvl="0">
      <w:start w:val="1"/>
      <w:numFmt w:val="decimal"/>
      <w:lvlText w:val="(%1)"/>
      <w:lvlJc w:val="left"/>
      <w:pPr>
        <w:ind w:left="720" w:hanging="360"/>
      </w:pPr>
      <w:rPr>
        <w:rFonts w:cs="Times New Roman" w:hint="default"/>
      </w:rPr>
    </w:lvl>
    <w:lvl w:ilvl="1">
      <w:start w:val="0"/>
      <w:numFmt w:val="bullet"/>
      <w:lvlText w:val="-"/>
      <w:lvlJc w:val="left"/>
      <w:pPr>
        <w:ind w:left="1440" w:hanging="360"/>
      </w:pPr>
      <w:rPr>
        <w:rFonts w:ascii="Times New Roman" w:eastAsia="Times New Roman" w:hAnsi="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B7E0351"/>
    <w:multiLevelType w:val="hybridMultilevel"/>
    <w:tmpl w:val="2432F674"/>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16CB1BDA"/>
    <w:multiLevelType w:val="hybridMultilevel"/>
    <w:tmpl w:val="86E202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
    <w:nsid w:val="1DC84A1A"/>
    <w:multiLevelType w:val="hybridMultilevel"/>
    <w:tmpl w:val="FAA2AE0A"/>
    <w:lvl w:ilvl="0">
      <w:start w:val="1"/>
      <w:numFmt w:val="upp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228754E2"/>
    <w:multiLevelType w:val="hybridMultilevel"/>
    <w:tmpl w:val="5822AC58"/>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5">
    <w:nsid w:val="28F32A3D"/>
    <w:multiLevelType w:val="hybridMultilevel"/>
    <w:tmpl w:val="4490BA86"/>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6">
    <w:nsid w:val="36A6379D"/>
    <w:multiLevelType w:val="hybridMultilevel"/>
    <w:tmpl w:val="1368BEB0"/>
    <w:lvl w:ilvl="0">
      <w:start w:val="1"/>
      <w:numFmt w:val="bullet"/>
      <w:lvlText w:val=""/>
      <w:lvlJc w:val="left"/>
      <w:pPr>
        <w:ind w:left="1080" w:hanging="360"/>
      </w:pPr>
      <w:rPr>
        <w:rFonts w:ascii="Symbol" w:hAnsi="Symbol" w:hint="default"/>
      </w:rPr>
    </w:lvl>
    <w:lvl w:ilvl="1">
      <w:start w:val="0"/>
      <w:numFmt w:val="bullet"/>
      <w:lvlText w:val="-"/>
      <w:lvlJc w:val="left"/>
      <w:pPr>
        <w:ind w:left="1800" w:hanging="360"/>
      </w:pPr>
      <w:rPr>
        <w:rFonts w:ascii="Times New Roman" w:eastAsia="Times New Roman" w:hAnsi="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
    <w:nsid w:val="75CC59C6"/>
    <w:multiLevelType w:val="hybridMultilevel"/>
    <w:tmpl w:val="9DA2D96E"/>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E56"/>
    <w:rPr>
      <w:sz w:val="24"/>
      <w:szCs w:val="24"/>
    </w:rPr>
  </w:style>
  <w:style w:type="paragraph" w:styleId="Heading1">
    <w:name w:val="heading 1"/>
    <w:basedOn w:val="Normal"/>
    <w:next w:val="Normal"/>
    <w:link w:val="Nadpis1Char"/>
    <w:uiPriority w:val="99"/>
    <w:qFormat/>
    <w:rsid w:val="00B44E5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9"/>
    <w:locked/>
    <w:rsid w:val="00B44E56"/>
    <w:rPr>
      <w:rFonts w:ascii="Cambria" w:hAnsi="Cambria" w:cs="Times New Roman"/>
      <w:b/>
      <w:bCs/>
      <w:color w:val="365F91"/>
      <w:sz w:val="28"/>
      <w:szCs w:val="28"/>
    </w:rPr>
  </w:style>
  <w:style w:type="paragraph" w:styleId="Subtitle">
    <w:name w:val="Subtitle"/>
    <w:basedOn w:val="Normal"/>
    <w:next w:val="Normal"/>
    <w:link w:val="PodnadpisChar"/>
    <w:uiPriority w:val="99"/>
    <w:qFormat/>
    <w:rsid w:val="00B44E56"/>
    <w:pPr>
      <w:numPr>
        <w:ilvl w:val="1"/>
      </w:numPr>
    </w:pPr>
    <w:rPr>
      <w:rFonts w:ascii="Cambria" w:hAnsi="Cambria"/>
      <w:i/>
      <w:iCs/>
      <w:color w:val="4F81BD"/>
      <w:spacing w:val="15"/>
    </w:rPr>
  </w:style>
  <w:style w:type="character" w:customStyle="1" w:styleId="PodnadpisChar">
    <w:name w:val="Podnadpis Char"/>
    <w:link w:val="Subtitle"/>
    <w:uiPriority w:val="99"/>
    <w:locked/>
    <w:rsid w:val="00B44E56"/>
    <w:rPr>
      <w:rFonts w:ascii="Cambria" w:hAnsi="Cambria" w:cs="Times New Roman"/>
      <w:i/>
      <w:iCs/>
      <w:color w:val="4F81BD"/>
      <w:spacing w:val="15"/>
      <w:sz w:val="24"/>
      <w:szCs w:val="24"/>
    </w:rPr>
  </w:style>
  <w:style w:type="paragraph" w:styleId="ListParagraph">
    <w:name w:val="List Paragraph"/>
    <w:basedOn w:val="Normal"/>
    <w:uiPriority w:val="99"/>
    <w:qFormat/>
    <w:rsid w:val="009965A3"/>
    <w:pPr>
      <w:ind w:left="720"/>
      <w:contextualSpacing/>
    </w:pPr>
  </w:style>
  <w:style w:type="paragraph" w:styleId="Header">
    <w:name w:val="header"/>
    <w:basedOn w:val="Normal"/>
    <w:link w:val="ZhlavChar"/>
    <w:uiPriority w:val="99"/>
    <w:rsid w:val="00DB2483"/>
    <w:pPr>
      <w:tabs>
        <w:tab w:val="center" w:pos="4536"/>
        <w:tab w:val="right" w:pos="9072"/>
      </w:tabs>
    </w:pPr>
  </w:style>
  <w:style w:type="character" w:customStyle="1" w:styleId="ZhlavChar">
    <w:name w:val="Záhlaví Char"/>
    <w:link w:val="Header"/>
    <w:uiPriority w:val="99"/>
    <w:locked/>
    <w:rsid w:val="00DB2483"/>
    <w:rPr>
      <w:rFonts w:cs="Times New Roman"/>
      <w:sz w:val="24"/>
      <w:szCs w:val="24"/>
    </w:rPr>
  </w:style>
  <w:style w:type="paragraph" w:styleId="Footer">
    <w:name w:val="footer"/>
    <w:basedOn w:val="Normal"/>
    <w:link w:val="ZpatChar"/>
    <w:uiPriority w:val="99"/>
    <w:rsid w:val="00DB2483"/>
    <w:pPr>
      <w:tabs>
        <w:tab w:val="center" w:pos="4536"/>
        <w:tab w:val="right" w:pos="9072"/>
      </w:tabs>
    </w:pPr>
  </w:style>
  <w:style w:type="character" w:customStyle="1" w:styleId="ZpatChar">
    <w:name w:val="Zápatí Char"/>
    <w:link w:val="Footer"/>
    <w:uiPriority w:val="99"/>
    <w:locked/>
    <w:rsid w:val="00DB2483"/>
    <w:rPr>
      <w:rFonts w:cs="Times New Roman"/>
      <w:sz w:val="24"/>
      <w:szCs w:val="24"/>
    </w:rPr>
  </w:style>
  <w:style w:type="paragraph" w:styleId="BalloonText">
    <w:name w:val="Balloon Text"/>
    <w:basedOn w:val="Normal"/>
    <w:link w:val="TextbublinyChar"/>
    <w:uiPriority w:val="99"/>
    <w:rsid w:val="00770F37"/>
    <w:rPr>
      <w:rFonts w:ascii="Tahoma" w:hAnsi="Tahoma" w:cs="Tahoma"/>
      <w:sz w:val="16"/>
      <w:szCs w:val="16"/>
    </w:rPr>
  </w:style>
  <w:style w:type="character" w:customStyle="1" w:styleId="TextbublinyChar">
    <w:name w:val="Text bubliny Char"/>
    <w:link w:val="BalloonText"/>
    <w:uiPriority w:val="99"/>
    <w:locked/>
    <w:rsid w:val="00770F37"/>
    <w:rPr>
      <w:rFonts w:ascii="Tahoma" w:hAnsi="Tahoma" w:cs="Tahoma"/>
      <w:sz w:val="16"/>
      <w:szCs w:val="16"/>
    </w:rPr>
  </w:style>
  <w:style w:type="character" w:styleId="CommentReference">
    <w:name w:val="annotation reference"/>
    <w:uiPriority w:val="99"/>
    <w:rsid w:val="0079066B"/>
    <w:rPr>
      <w:rFonts w:cs="Times New Roman"/>
      <w:sz w:val="16"/>
      <w:szCs w:val="16"/>
    </w:rPr>
  </w:style>
  <w:style w:type="paragraph" w:styleId="CommentText">
    <w:name w:val="annotation text"/>
    <w:basedOn w:val="Normal"/>
    <w:link w:val="TextkomenteChar"/>
    <w:uiPriority w:val="99"/>
    <w:rsid w:val="0079066B"/>
    <w:rPr>
      <w:sz w:val="20"/>
      <w:szCs w:val="20"/>
    </w:rPr>
  </w:style>
  <w:style w:type="character" w:customStyle="1" w:styleId="TextkomenteChar">
    <w:name w:val="Text komentáře Char"/>
    <w:link w:val="CommentText"/>
    <w:uiPriority w:val="99"/>
    <w:locked/>
    <w:rsid w:val="0079066B"/>
    <w:rPr>
      <w:rFonts w:cs="Times New Roman"/>
    </w:rPr>
  </w:style>
  <w:style w:type="paragraph" w:styleId="CommentSubject">
    <w:name w:val="annotation subject"/>
    <w:basedOn w:val="CommentText"/>
    <w:next w:val="CommentText"/>
    <w:link w:val="PedmtkomenteChar"/>
    <w:uiPriority w:val="99"/>
    <w:rsid w:val="0079066B"/>
    <w:rPr>
      <w:b/>
      <w:bCs/>
    </w:rPr>
  </w:style>
  <w:style w:type="character" w:customStyle="1" w:styleId="PedmtkomenteChar">
    <w:name w:val="Předmět komentáře Char"/>
    <w:link w:val="CommentSubject"/>
    <w:uiPriority w:val="99"/>
    <w:locked/>
    <w:rsid w:val="0079066B"/>
    <w:rPr>
      <w:rFonts w:cs="Times New Roman"/>
      <w:b/>
      <w:bCs/>
    </w:rPr>
  </w:style>
  <w:style w:type="paragraph" w:styleId="Title">
    <w:name w:val="Title"/>
    <w:basedOn w:val="Normal"/>
    <w:link w:val="NzevChar"/>
    <w:uiPriority w:val="99"/>
    <w:qFormat/>
    <w:locked/>
    <w:rsid w:val="00430449"/>
    <w:pPr>
      <w:widowControl w:val="0"/>
      <w:autoSpaceDE w:val="0"/>
      <w:autoSpaceDN w:val="0"/>
      <w:spacing w:before="120" w:line="360" w:lineRule="auto"/>
      <w:jc w:val="center"/>
    </w:pPr>
    <w:rPr>
      <w:b/>
      <w:bCs/>
      <w:sz w:val="28"/>
      <w:szCs w:val="28"/>
    </w:rPr>
  </w:style>
  <w:style w:type="character" w:customStyle="1" w:styleId="NzevChar">
    <w:name w:val="Název Char"/>
    <w:link w:val="Title"/>
    <w:uiPriority w:val="99"/>
    <w:locked/>
    <w:rsid w:val="00832880"/>
    <w:rPr>
      <w:rFonts w:ascii="Cambria" w:hAnsi="Cambria" w:cs="Times New Roman"/>
      <w:b/>
      <w:bCs/>
      <w:kern w:val="28"/>
      <w:sz w:val="32"/>
      <w:szCs w:val="32"/>
    </w:rPr>
  </w:style>
  <w:style w:type="paragraph" w:styleId="BodyText">
    <w:name w:val="Body Text"/>
    <w:basedOn w:val="Normal"/>
    <w:link w:val="ZkladntextChar"/>
    <w:uiPriority w:val="99"/>
    <w:rsid w:val="00430449"/>
    <w:pPr>
      <w:autoSpaceDE w:val="0"/>
      <w:autoSpaceDN w:val="0"/>
      <w:spacing w:before="120" w:after="120" w:line="360" w:lineRule="auto"/>
      <w:jc w:val="both"/>
    </w:pPr>
  </w:style>
  <w:style w:type="character" w:customStyle="1" w:styleId="ZkladntextChar">
    <w:name w:val="Základní text Char"/>
    <w:link w:val="BodyText"/>
    <w:uiPriority w:val="99"/>
    <w:semiHidden/>
    <w:locked/>
    <w:rsid w:val="00832880"/>
    <w:rPr>
      <w:rFonts w:cs="Times New Roman"/>
      <w:sz w:val="24"/>
      <w:szCs w:val="24"/>
    </w:rPr>
  </w:style>
  <w:style w:type="paragraph" w:styleId="BodyText2">
    <w:name w:val="Body Text 2"/>
    <w:basedOn w:val="Normal"/>
    <w:link w:val="Zkladntext2Char"/>
    <w:uiPriority w:val="99"/>
    <w:rsid w:val="00430449"/>
    <w:pPr>
      <w:pBdr>
        <w:top w:val="single" w:sz="4" w:space="1" w:color="auto"/>
        <w:left w:val="single" w:sz="4" w:space="4" w:color="auto"/>
        <w:bottom w:val="single" w:sz="4" w:space="1" w:color="auto"/>
        <w:right w:val="single" w:sz="4" w:space="4" w:color="auto"/>
      </w:pBdr>
      <w:spacing w:before="120"/>
      <w:jc w:val="both"/>
    </w:pPr>
    <w:rPr>
      <w:b/>
      <w:bCs/>
      <w:i/>
      <w:iCs/>
      <w:color w:val="000000"/>
    </w:rPr>
  </w:style>
  <w:style w:type="character" w:customStyle="1" w:styleId="Zkladntext2Char">
    <w:name w:val="Základní text 2 Char"/>
    <w:link w:val="BodyText2"/>
    <w:uiPriority w:val="99"/>
    <w:semiHidden/>
    <w:locked/>
    <w:rsid w:val="00832880"/>
    <w:rPr>
      <w:rFonts w:cs="Times New Roman"/>
      <w:sz w:val="24"/>
      <w:szCs w:val="24"/>
    </w:rPr>
  </w:style>
  <w:style w:type="table" w:styleId="TableGrid">
    <w:name w:val="Table Grid"/>
    <w:basedOn w:val="TableNormal"/>
    <w:uiPriority w:val="99"/>
    <w:locked/>
    <w:rsid w:val="00A0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6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196</TotalTime>
  <Pages>3</Pages>
  <Words>1124</Words>
  <Characters>6638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21</cp:revision>
  <dcterms:created xsi:type="dcterms:W3CDTF">2021-03-22T18:52:00Z</dcterms:created>
</cp:coreProperties>
</file>