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AA2750" w:rsidRPr="00A50A99" w:rsidP="00A50A99">
      <w:pPr>
        <w:rPr>
          <w:rFonts w:ascii="Calibri" w:hAnsi="Calibri" w:cs="Calibri"/>
          <w:b/>
          <w:sz w:val="28"/>
          <w:szCs w:val="28"/>
        </w:rPr>
      </w:pPr>
      <w:r w:rsidRPr="00135CF8">
        <w:rPr>
          <w:rFonts w:ascii="Calibri" w:hAnsi="Calibri" w:cs="Calibri"/>
          <w:b/>
          <w:sz w:val="28"/>
          <w:szCs w:val="28"/>
          <w:lang w:val="en-GB"/>
        </w:rPr>
        <w:t>Other</w:t>
      </w:r>
      <w:r w:rsidRPr="00135CF8">
        <w:rPr>
          <w:rFonts w:ascii="Calibri" w:hAnsi="Calibri" w:cs="Calibri"/>
          <w:b/>
          <w:sz w:val="28"/>
          <w:szCs w:val="28"/>
        </w:rPr>
        <w:t xml:space="preserve"> </w:t>
      </w:r>
      <w:r w:rsidRPr="00135CF8">
        <w:rPr>
          <w:rFonts w:ascii="Calibri" w:hAnsi="Calibri" w:cs="Calibri"/>
          <w:b/>
          <w:sz w:val="28"/>
          <w:szCs w:val="28"/>
          <w:lang w:val="en-GB"/>
        </w:rPr>
        <w:t>local</w:t>
      </w:r>
      <w:r w:rsidRPr="00135CF8">
        <w:rPr>
          <w:rFonts w:ascii="Calibri" w:hAnsi="Calibri" w:cs="Calibri"/>
          <w:b/>
          <w:sz w:val="28"/>
          <w:szCs w:val="28"/>
        </w:rPr>
        <w:t xml:space="preserve"> </w:t>
      </w:r>
      <w:r w:rsidRPr="00A50A99">
        <w:rPr>
          <w:rFonts w:ascii="Calibri" w:hAnsi="Calibri" w:cs="Calibri"/>
          <w:b/>
          <w:sz w:val="28"/>
          <w:szCs w:val="28"/>
          <w:lang w:val="en-GB"/>
        </w:rPr>
        <w:t>government</w:t>
      </w:r>
      <w:r w:rsidRPr="00A50A99">
        <w:rPr>
          <w:rFonts w:ascii="Calibri" w:hAnsi="Calibri" w:cs="Calibri"/>
          <w:b/>
          <w:sz w:val="28"/>
          <w:szCs w:val="28"/>
        </w:rPr>
        <w:t xml:space="preserve"> </w:t>
      </w:r>
      <w:r w:rsidRPr="00A50A99">
        <w:rPr>
          <w:rFonts w:ascii="Calibri" w:hAnsi="Calibri" w:cs="Calibri"/>
          <w:b/>
          <w:sz w:val="28"/>
          <w:szCs w:val="28"/>
          <w:lang w:val="en-GB"/>
        </w:rPr>
        <w:t>units</w:t>
      </w:r>
    </w:p>
    <w:p w:rsidR="00A50A99" w:rsidRPr="00A50A99" w:rsidP="00667C7F">
      <w:pPr>
        <w:spacing w:after="120"/>
        <w:jc w:val="right"/>
        <w:rPr>
          <w:rFonts w:asciiTheme="minorHAnsi" w:hAnsiTheme="minorHAnsi"/>
          <w:i/>
          <w:sz w:val="20"/>
          <w:szCs w:val="20"/>
          <w:lang w:val="en-US"/>
        </w:rPr>
      </w:pPr>
      <w:r w:rsidRPr="00A50A99">
        <w:rPr>
          <w:rFonts w:asciiTheme="minorHAnsi" w:hAnsiTheme="minorHAnsi"/>
          <w:i/>
          <w:sz w:val="20"/>
          <w:szCs w:val="20"/>
          <w:lang w:val="en-US"/>
        </w:rPr>
        <w:t xml:space="preserve">Updated: March </w:t>
      </w:r>
      <w:r w:rsidR="00531403">
        <w:rPr>
          <w:rFonts w:asciiTheme="minorHAnsi" w:hAnsiTheme="minorHAnsi"/>
          <w:i/>
          <w:sz w:val="20"/>
          <w:szCs w:val="20"/>
          <w:lang w:val="en-US"/>
        </w:rPr>
        <w:t>31</w:t>
      </w:r>
      <w:bookmarkStart w:id="0" w:name="_GoBack"/>
      <w:bookmarkEnd w:id="0"/>
      <w:r w:rsidRPr="00A50A99">
        <w:rPr>
          <w:rFonts w:asciiTheme="minorHAnsi" w:hAnsiTheme="minorHAnsi"/>
          <w:i/>
          <w:sz w:val="20"/>
          <w:szCs w:val="20"/>
          <w:lang w:val="en-US"/>
        </w:rPr>
        <w:t>, 20</w:t>
      </w:r>
      <w:r w:rsidR="00AE0D7B">
        <w:rPr>
          <w:rFonts w:asciiTheme="minorHAnsi" w:hAnsiTheme="minorHAnsi"/>
          <w:i/>
          <w:sz w:val="20"/>
          <w:szCs w:val="20"/>
          <w:lang w:val="en-US"/>
        </w:rPr>
        <w:t>2</w:t>
      </w:r>
      <w:r w:rsidR="006B72BE">
        <w:rPr>
          <w:rFonts w:asciiTheme="minorHAnsi" w:hAnsiTheme="minorHAnsi"/>
          <w:i/>
          <w:sz w:val="20"/>
          <w:szCs w:val="20"/>
          <w:lang w:val="en-US"/>
        </w:rPr>
        <w:t>3</w:t>
      </w:r>
    </w:p>
    <w:p w:rsidR="00A50A99" w:rsidRPr="00A50A99" w:rsidP="00A50A99">
      <w:pPr>
        <w:pBdr>
          <w:top w:val="single" w:sz="4" w:space="1" w:color="auto"/>
          <w:bottom w:val="single" w:sz="4" w:space="1" w:color="auto"/>
        </w:pBdr>
        <w:rPr>
          <w:rFonts w:asciiTheme="minorHAnsi" w:hAnsiTheme="minorHAnsi" w:cstheme="minorHAnsi"/>
          <w:sz w:val="20"/>
          <w:szCs w:val="20"/>
          <w:lang w:val="en-US"/>
        </w:rPr>
      </w:pPr>
      <w:r w:rsidRPr="00A50A99">
        <w:rPr>
          <w:rFonts w:ascii="Calibri" w:hAnsi="Calibri" w:cs="Calibri"/>
          <w:lang w:val="en-US"/>
        </w:rPr>
        <w:t>Table: Revenue, expense transactions and balance of other local government units (quarterly)</w:t>
      </w:r>
    </w:p>
    <w:p w:rsidR="00A50A99" w:rsidRPr="007C32F8" w:rsidP="00A50A99">
      <w:pPr>
        <w:jc w:val="both"/>
        <w:rPr>
          <w:rFonts w:asciiTheme="minorHAnsi" w:hAnsiTheme="minorHAnsi" w:cstheme="minorHAnsi"/>
          <w:sz w:val="20"/>
          <w:szCs w:val="20"/>
          <w:lang w:val="en-US"/>
        </w:rPr>
      </w:pPr>
    </w:p>
    <w:p w:rsidR="00AA2750" w:rsidRPr="00A50A99" w:rsidP="00A50A99">
      <w:pPr>
        <w:rPr>
          <w:rFonts w:ascii="Calibri" w:hAnsi="Calibri" w:cs="Calibri"/>
          <w:b/>
        </w:rPr>
      </w:pPr>
      <w:r w:rsidRPr="00A50A99">
        <w:rPr>
          <w:rFonts w:ascii="Calibri" w:hAnsi="Calibri" w:cs="Calibri"/>
          <w:b/>
          <w:lang w:val="en-GB"/>
        </w:rPr>
        <w:t>Coverage</w:t>
      </w:r>
      <w:r w:rsidRPr="00A50A99">
        <w:rPr>
          <w:rFonts w:ascii="Calibri" w:hAnsi="Calibri" w:cs="Calibri"/>
          <w:b/>
        </w:rPr>
        <w:t>:</w:t>
      </w:r>
    </w:p>
    <w:p w:rsidR="00596610" w:rsidP="00596610">
      <w:pPr>
        <w:jc w:val="both"/>
        <w:rPr>
          <w:rFonts w:ascii="Calibri" w:hAnsi="Calibri"/>
          <w:sz w:val="20"/>
          <w:szCs w:val="20"/>
        </w:rPr>
      </w:pPr>
      <w:r w:rsidRPr="00A50A99">
        <w:rPr>
          <w:rFonts w:ascii="Calibri" w:hAnsi="Calibri" w:cs="Calibri"/>
          <w:sz w:val="20"/>
          <w:szCs w:val="20"/>
          <w:lang w:val="en-GB"/>
        </w:rPr>
        <w:t>Other local government</w:t>
      </w:r>
      <w:r w:rsidRPr="00A50A99">
        <w:rPr>
          <w:rFonts w:ascii="Calibri" w:hAnsi="Calibri" w:cs="Calibri"/>
          <w:sz w:val="20"/>
          <w:szCs w:val="20"/>
        </w:rPr>
        <w:t xml:space="preserve"> </w:t>
      </w:r>
      <w:r w:rsidRPr="00A50A99">
        <w:rPr>
          <w:rFonts w:ascii="Calibri" w:hAnsi="Calibri" w:cs="Calibri"/>
          <w:sz w:val="20"/>
          <w:szCs w:val="20"/>
          <w:lang w:val="en-GB"/>
        </w:rPr>
        <w:t>units</w:t>
      </w:r>
      <w:r w:rsidRPr="00A50A99">
        <w:rPr>
          <w:rFonts w:ascii="Calibri" w:hAnsi="Calibri" w:cs="Calibri"/>
          <w:sz w:val="20"/>
          <w:szCs w:val="20"/>
        </w:rPr>
        <w:t xml:space="preserve"> are </w:t>
      </w:r>
      <w:r w:rsidRPr="00A50A99">
        <w:rPr>
          <w:rFonts w:ascii="Calibri" w:hAnsi="Calibri" w:cs="Calibri"/>
          <w:sz w:val="20"/>
          <w:szCs w:val="20"/>
          <w:lang w:val="en-GB"/>
        </w:rPr>
        <w:t>institutional</w:t>
      </w:r>
      <w:r w:rsidRPr="00A50A99">
        <w:rPr>
          <w:rFonts w:ascii="Calibri" w:hAnsi="Calibri" w:cs="Calibri"/>
          <w:sz w:val="20"/>
          <w:szCs w:val="20"/>
        </w:rPr>
        <w:t xml:space="preserve"> </w:t>
      </w:r>
      <w:r w:rsidRPr="00A50A99">
        <w:rPr>
          <w:rFonts w:ascii="Calibri" w:hAnsi="Calibri" w:cs="Calibri"/>
          <w:sz w:val="20"/>
          <w:szCs w:val="20"/>
          <w:lang w:val="en-GB"/>
        </w:rPr>
        <w:t>units</w:t>
      </w:r>
      <w:r w:rsidRPr="00A50A99">
        <w:rPr>
          <w:rFonts w:ascii="Calibri" w:hAnsi="Calibri" w:cs="Calibri"/>
          <w:sz w:val="20"/>
          <w:szCs w:val="20"/>
        </w:rPr>
        <w:t xml:space="preserve"> </w:t>
      </w:r>
      <w:r w:rsidRPr="00A50A99">
        <w:rPr>
          <w:rFonts w:ascii="Calibri" w:hAnsi="Calibri" w:cs="Calibri"/>
          <w:sz w:val="20"/>
          <w:szCs w:val="20"/>
          <w:lang w:val="en-GB"/>
        </w:rPr>
        <w:t>which</w:t>
      </w:r>
      <w:r w:rsidRPr="00A50A99">
        <w:rPr>
          <w:rFonts w:ascii="Calibri" w:hAnsi="Calibri" w:cs="Calibri"/>
          <w:sz w:val="20"/>
          <w:szCs w:val="20"/>
        </w:rPr>
        <w:t xml:space="preserve"> are part of the </w:t>
      </w:r>
      <w:r w:rsidRPr="00A50A99">
        <w:rPr>
          <w:rFonts w:ascii="Calibri" w:hAnsi="Calibri" w:cs="Calibri"/>
          <w:sz w:val="20"/>
          <w:szCs w:val="20"/>
          <w:lang w:val="en-GB"/>
        </w:rPr>
        <w:t>local</w:t>
      </w:r>
      <w:r w:rsidRPr="00A50A99">
        <w:rPr>
          <w:rFonts w:ascii="Calibri" w:hAnsi="Calibri" w:cs="Calibri"/>
          <w:sz w:val="20"/>
          <w:szCs w:val="20"/>
        </w:rPr>
        <w:t xml:space="preserve"> </w:t>
      </w:r>
      <w:r w:rsidRPr="00A50A99">
        <w:rPr>
          <w:rFonts w:ascii="Calibri" w:hAnsi="Calibri" w:cs="Calibri"/>
          <w:sz w:val="20"/>
          <w:szCs w:val="20"/>
          <w:lang w:val="en-GB"/>
        </w:rPr>
        <w:t>government</w:t>
      </w:r>
      <w:r w:rsidRPr="00A50A99">
        <w:rPr>
          <w:rFonts w:ascii="Calibri" w:hAnsi="Calibri" w:cs="Calibri"/>
          <w:sz w:val="20"/>
          <w:szCs w:val="20"/>
        </w:rPr>
        <w:t xml:space="preserve"> sub</w:t>
      </w:r>
      <w:r w:rsidRPr="00A50A99">
        <w:rPr>
          <w:rFonts w:ascii="Calibri" w:hAnsi="Calibri" w:cs="Calibri"/>
          <w:sz w:val="20"/>
          <w:szCs w:val="20"/>
          <w:lang w:val="en-GB"/>
        </w:rPr>
        <w:t>sector</w:t>
      </w:r>
      <w:r w:rsidRPr="00A50A99">
        <w:rPr>
          <w:rFonts w:ascii="Calibri" w:hAnsi="Calibri" w:cs="Calibri"/>
          <w:sz w:val="20"/>
          <w:szCs w:val="20"/>
        </w:rPr>
        <w:t xml:space="preserve"> (S.1313), but </w:t>
      </w:r>
      <w:r w:rsidRPr="00A50A99">
        <w:rPr>
          <w:rFonts w:ascii="Calibri" w:hAnsi="Calibri" w:cs="Calibri"/>
          <w:sz w:val="20"/>
          <w:szCs w:val="20"/>
          <w:lang w:val="en-GB"/>
        </w:rPr>
        <w:t>they</w:t>
      </w:r>
      <w:r w:rsidRPr="00A50A99">
        <w:rPr>
          <w:rFonts w:ascii="Calibri" w:hAnsi="Calibri" w:cs="Calibri"/>
          <w:sz w:val="20"/>
          <w:szCs w:val="20"/>
        </w:rPr>
        <w:t xml:space="preserve"> do not </w:t>
      </w:r>
      <w:r w:rsidRPr="00A50A99">
        <w:rPr>
          <w:rFonts w:ascii="Calibri" w:hAnsi="Calibri" w:cs="Calibri"/>
          <w:sz w:val="20"/>
          <w:szCs w:val="20"/>
          <w:lang w:val="en-GB"/>
        </w:rPr>
        <w:t>submit</w:t>
      </w:r>
      <w:r w:rsidRPr="00A50A99">
        <w:rPr>
          <w:rFonts w:ascii="Calibri" w:hAnsi="Calibri" w:cs="Calibri"/>
          <w:sz w:val="20"/>
          <w:szCs w:val="20"/>
        </w:rPr>
        <w:t xml:space="preserve"> </w:t>
      </w:r>
      <w:r w:rsidRPr="00A50A99">
        <w:rPr>
          <w:rFonts w:ascii="Calibri" w:hAnsi="Calibri" w:cs="Calibri"/>
          <w:sz w:val="20"/>
          <w:szCs w:val="20"/>
          <w:lang w:val="en-GB"/>
        </w:rPr>
        <w:t>reports</w:t>
      </w:r>
      <w:r w:rsidRPr="00A50A99">
        <w:rPr>
          <w:rFonts w:ascii="Calibri" w:hAnsi="Calibri" w:cs="Calibri"/>
          <w:sz w:val="20"/>
          <w:szCs w:val="20"/>
        </w:rPr>
        <w:t xml:space="preserve"> </w:t>
      </w:r>
      <w:r w:rsidRPr="00135CF8">
        <w:rPr>
          <w:rFonts w:ascii="Calibri" w:hAnsi="Calibri" w:cs="Calibri"/>
          <w:sz w:val="20"/>
          <w:szCs w:val="20"/>
        </w:rPr>
        <w:t xml:space="preserve">to the </w:t>
      </w:r>
      <w:r w:rsidRPr="00135CF8">
        <w:rPr>
          <w:rFonts w:ascii="Calibri" w:hAnsi="Calibri" w:cs="Calibri"/>
          <w:sz w:val="20"/>
          <w:szCs w:val="20"/>
          <w:lang w:val="en-GB"/>
        </w:rPr>
        <w:t>Central</w:t>
      </w:r>
      <w:r w:rsidRPr="00135CF8">
        <w:rPr>
          <w:rFonts w:ascii="Calibri" w:hAnsi="Calibri" w:cs="Calibri"/>
          <w:sz w:val="20"/>
          <w:szCs w:val="20"/>
        </w:rPr>
        <w:t xml:space="preserve"> </w:t>
      </w:r>
      <w:r w:rsidRPr="00135CF8">
        <w:rPr>
          <w:rFonts w:ascii="Calibri" w:hAnsi="Calibri" w:cs="Calibri"/>
          <w:sz w:val="20"/>
          <w:szCs w:val="20"/>
          <w:lang w:val="en-GB"/>
        </w:rPr>
        <w:t>system</w:t>
      </w:r>
      <w:r w:rsidRPr="00135CF8">
        <w:rPr>
          <w:rFonts w:ascii="Calibri" w:hAnsi="Calibri" w:cs="Calibri"/>
          <w:sz w:val="20"/>
          <w:szCs w:val="20"/>
        </w:rPr>
        <w:t xml:space="preserve"> of </w:t>
      </w:r>
      <w:r w:rsidRPr="00135CF8">
        <w:rPr>
          <w:rFonts w:ascii="Calibri" w:hAnsi="Calibri" w:cs="Calibri"/>
          <w:sz w:val="20"/>
          <w:szCs w:val="20"/>
          <w:lang w:val="en-GB"/>
        </w:rPr>
        <w:t>state</w:t>
      </w:r>
      <w:r w:rsidRPr="00135CF8">
        <w:rPr>
          <w:rFonts w:ascii="Calibri" w:hAnsi="Calibri" w:cs="Calibri"/>
          <w:sz w:val="20"/>
          <w:szCs w:val="20"/>
        </w:rPr>
        <w:t xml:space="preserve"> </w:t>
      </w:r>
      <w:r w:rsidRPr="00135CF8">
        <w:rPr>
          <w:rFonts w:ascii="Calibri" w:hAnsi="Calibri" w:cs="Calibri"/>
          <w:sz w:val="20"/>
          <w:szCs w:val="20"/>
          <w:lang w:val="en-GB"/>
        </w:rPr>
        <w:t>accounting</w:t>
      </w:r>
      <w:r w:rsidRPr="00135CF8">
        <w:rPr>
          <w:rFonts w:ascii="Calibri" w:hAnsi="Calibri" w:cs="Calibri"/>
          <w:sz w:val="20"/>
          <w:szCs w:val="20"/>
        </w:rPr>
        <w:t xml:space="preserve"> </w:t>
      </w:r>
      <w:r w:rsidRPr="00135CF8">
        <w:rPr>
          <w:rFonts w:ascii="Calibri" w:hAnsi="Calibri" w:cs="Calibri"/>
          <w:sz w:val="20"/>
          <w:szCs w:val="20"/>
          <w:lang w:val="en-GB"/>
        </w:rPr>
        <w:t>information</w:t>
      </w:r>
      <w:r w:rsidRPr="00BC7C99">
        <w:rPr>
          <w:rFonts w:ascii="Calibri" w:hAnsi="Calibri" w:cs="Calibri"/>
          <w:sz w:val="20"/>
          <w:szCs w:val="20"/>
          <w:lang w:val="en-GB"/>
        </w:rPr>
        <w:t xml:space="preserve"> (CSÚIS). </w:t>
      </w:r>
      <w:r w:rsidRPr="001E2F07">
        <w:rPr>
          <w:rFonts w:ascii="Calibri" w:hAnsi="Calibri" w:cs="Calibri"/>
          <w:sz w:val="20"/>
          <w:szCs w:val="20"/>
          <w:lang w:val="en-GB"/>
        </w:rPr>
        <w:t>Currently</w:t>
      </w:r>
      <w:r w:rsidRPr="00BC7C99">
        <w:rPr>
          <w:rFonts w:ascii="Calibri" w:hAnsi="Calibri" w:cs="Calibri"/>
          <w:sz w:val="20"/>
          <w:szCs w:val="20"/>
          <w:lang w:val="en-GB"/>
        </w:rPr>
        <w:t xml:space="preserve">, </w:t>
      </w:r>
      <w:r w:rsidR="00E6338F">
        <w:rPr>
          <w:rFonts w:ascii="Calibri" w:hAnsi="Calibri" w:cs="Calibri"/>
          <w:sz w:val="20"/>
          <w:szCs w:val="20"/>
          <w:lang w:val="en-GB"/>
        </w:rPr>
        <w:t>7</w:t>
      </w:r>
      <w:r>
        <w:rPr>
          <w:rFonts w:ascii="Calibri" w:hAnsi="Calibri" w:cs="Calibri"/>
          <w:sz w:val="20"/>
          <w:szCs w:val="20"/>
          <w:lang w:val="en-GB"/>
        </w:rPr>
        <w:t>5</w:t>
      </w:r>
      <w:r w:rsidRPr="00BC7C99">
        <w:rPr>
          <w:rFonts w:ascii="Calibri" w:hAnsi="Calibri" w:cs="Calibri"/>
          <w:sz w:val="20"/>
          <w:szCs w:val="20"/>
          <w:lang w:val="en-GB"/>
        </w:rPr>
        <w:t xml:space="preserve"> </w:t>
      </w:r>
      <w:r w:rsidRPr="00135CF8">
        <w:rPr>
          <w:rFonts w:ascii="Calibri" w:hAnsi="Calibri" w:cs="Calibri"/>
          <w:sz w:val="20"/>
          <w:szCs w:val="20"/>
          <w:lang w:val="en-GB"/>
        </w:rPr>
        <w:t>organizations</w:t>
      </w:r>
      <w:r w:rsidRPr="00BC7C99">
        <w:rPr>
          <w:rFonts w:ascii="Calibri" w:hAnsi="Calibri" w:cs="Calibri"/>
          <w:sz w:val="20"/>
          <w:szCs w:val="20"/>
          <w:lang w:val="en-GB"/>
        </w:rPr>
        <w:t xml:space="preserve"> are </w:t>
      </w:r>
      <w:r w:rsidRPr="00135CF8">
        <w:rPr>
          <w:rFonts w:ascii="Calibri" w:hAnsi="Calibri" w:cs="Calibri"/>
          <w:sz w:val="20"/>
          <w:szCs w:val="20"/>
          <w:lang w:val="en-GB"/>
        </w:rPr>
        <w:t>included</w:t>
      </w:r>
      <w:r w:rsidRPr="00BC7C99">
        <w:rPr>
          <w:rFonts w:ascii="Calibri" w:hAnsi="Calibri" w:cs="Calibri"/>
          <w:sz w:val="20"/>
          <w:szCs w:val="20"/>
          <w:lang w:val="en-GB"/>
        </w:rPr>
        <w:t xml:space="preserve"> in </w:t>
      </w:r>
      <w:r w:rsidRPr="00135CF8">
        <w:rPr>
          <w:rFonts w:ascii="Calibri" w:hAnsi="Calibri" w:cs="Calibri"/>
          <w:sz w:val="20"/>
          <w:szCs w:val="20"/>
          <w:lang w:val="en-GB"/>
        </w:rPr>
        <w:t>this</w:t>
      </w:r>
      <w:r w:rsidRPr="00BC7C99">
        <w:rPr>
          <w:rFonts w:ascii="Calibri" w:hAnsi="Calibri" w:cs="Calibri"/>
          <w:sz w:val="20"/>
          <w:szCs w:val="20"/>
          <w:lang w:val="en-GB"/>
        </w:rPr>
        <w:t xml:space="preserve"> </w:t>
      </w:r>
      <w:r w:rsidRPr="00135CF8">
        <w:rPr>
          <w:rFonts w:ascii="Calibri" w:hAnsi="Calibri" w:cs="Calibri"/>
          <w:sz w:val="20"/>
          <w:szCs w:val="20"/>
          <w:lang w:val="en-GB"/>
        </w:rPr>
        <w:t>group</w:t>
      </w:r>
      <w:r w:rsidRPr="00BC7C99">
        <w:rPr>
          <w:rFonts w:ascii="Calibri" w:hAnsi="Calibri" w:cs="Calibri"/>
          <w:sz w:val="20"/>
          <w:szCs w:val="20"/>
          <w:lang w:val="en-GB"/>
        </w:rPr>
        <w:t xml:space="preserve">: </w:t>
      </w:r>
      <w:r w:rsidRPr="00774FF7">
        <w:rPr>
          <w:rFonts w:ascii="Calibri" w:hAnsi="Calibri"/>
          <w:sz w:val="20"/>
          <w:szCs w:val="20"/>
        </w:rPr>
        <w:t xml:space="preserve">Základní škola a Mateřská škola Bez hranic, Sociální služby Běchovice, z.ú., Nadační fond Galerie Smečky, Sociální služby SOVY obecně prospěšná společnost, Plzeňská filharmonie, obecně prospěšná společnost, Renarkon, o. p. s., JIZERSKÁ, o.p.s., INFOCENTRUM MĚSTA Karlovy Vary, o.p.s., Naučné středisko ekologické výchovy Kladno - Čabárna, o.p.s., Česko - francouzská akademie Telč, o.p. s., ANIMA ČÁSLAV, o.p.s., Centrum sociálních a zdravotních služeb Poděbrady o.p.s., FILHARMONIE Hradec Králové o.p.s., Divadlo Drak a Mezinárodní institut figurálního divadla o.p.s., KLICPEROVO DIVADLO o.p.s., Okresní pečovatelská služba Nové Strašecí, o.p.s., Sluňákov - centrum ekologických aktivit města Olomouce, o.p.s., Karlovarské městské divadlo, o.p.s., Jablonecké kulturní a informační centrum, o.p.s., Domovinka Němčičky o. p. s., PRO - SPORT ČK o.p.s., Městská knihovna Náchod, obecně prospěšná společnost, MĚSTSKÉ DIVADLO ČESKÝ KRUMLOV o.p.s., Destinační a informační agentura </w:t>
      </w:r>
      <w:r>
        <w:rPr>
          <w:rFonts w:ascii="Calibri" w:hAnsi="Calibri"/>
          <w:sz w:val="20"/>
          <w:szCs w:val="20"/>
        </w:rPr>
        <w:t>–</w:t>
      </w:r>
      <w:r w:rsidRPr="00774FF7">
        <w:rPr>
          <w:rFonts w:ascii="Calibri" w:hAnsi="Calibri"/>
          <w:sz w:val="20"/>
          <w:szCs w:val="20"/>
        </w:rPr>
        <w:t xml:space="preserve"> Františkovy</w:t>
      </w:r>
      <w:r>
        <w:rPr>
          <w:rFonts w:ascii="Calibri" w:hAnsi="Calibri"/>
          <w:sz w:val="20"/>
          <w:szCs w:val="20"/>
        </w:rPr>
        <w:t xml:space="preserve"> </w:t>
      </w:r>
      <w:r w:rsidRPr="00774FF7">
        <w:rPr>
          <w:rFonts w:ascii="Calibri" w:hAnsi="Calibri"/>
          <w:sz w:val="20"/>
          <w:szCs w:val="20"/>
        </w:rPr>
        <w:t>Lázně,z.ú.,</w:t>
      </w:r>
      <w:r>
        <w:rPr>
          <w:rFonts w:ascii="Calibri" w:hAnsi="Calibri"/>
          <w:sz w:val="20"/>
          <w:szCs w:val="20"/>
        </w:rPr>
        <w:t xml:space="preserve"> </w:t>
      </w:r>
      <w:r w:rsidRPr="00774FF7">
        <w:rPr>
          <w:rFonts w:ascii="Calibri" w:hAnsi="Calibri"/>
          <w:sz w:val="20"/>
          <w:szCs w:val="20"/>
        </w:rPr>
        <w:t>Lidu</w:t>
      </w:r>
      <w:r>
        <w:rPr>
          <w:rFonts w:ascii="Calibri" w:hAnsi="Calibri"/>
          <w:sz w:val="20"/>
          <w:szCs w:val="20"/>
        </w:rPr>
        <w:t>š</w:t>
      </w:r>
      <w:r w:rsidRPr="00774FF7">
        <w:rPr>
          <w:rFonts w:ascii="Calibri" w:hAnsi="Calibri"/>
          <w:sz w:val="20"/>
          <w:szCs w:val="20"/>
        </w:rPr>
        <w:t>ka</w:t>
      </w:r>
      <w:r>
        <w:rPr>
          <w:rFonts w:ascii="Calibri" w:hAnsi="Calibri"/>
          <w:sz w:val="20"/>
          <w:szCs w:val="20"/>
        </w:rPr>
        <w:t xml:space="preserve"> </w:t>
      </w:r>
      <w:r w:rsidRPr="00774FF7">
        <w:rPr>
          <w:rFonts w:ascii="Calibri" w:hAnsi="Calibri"/>
          <w:sz w:val="20"/>
          <w:szCs w:val="20"/>
        </w:rPr>
        <w:t>-</w:t>
      </w:r>
      <w:r>
        <w:rPr>
          <w:rFonts w:ascii="Calibri" w:hAnsi="Calibri"/>
          <w:sz w:val="20"/>
          <w:szCs w:val="20"/>
        </w:rPr>
        <w:t xml:space="preserve"> </w:t>
      </w:r>
      <w:r w:rsidRPr="00774FF7">
        <w:rPr>
          <w:rFonts w:ascii="Calibri" w:hAnsi="Calibri"/>
          <w:sz w:val="20"/>
          <w:szCs w:val="20"/>
        </w:rPr>
        <w:t>spolek pro podporu uměleckého vzdělávání, z.ú., Plumlov, Institut environmentálních výzkumů a aplikací, zapsaný ústav, Pečovatelská služba Kroměříž z.ú., Plzeň 2015, zapsaný ústav, Veselské kulturní centrum, z.ú., Základní škola Vyžlovka, Svazková škola Panská pole, základní škola, Mateřská škola Štědřík, Základní škola Amos</w:t>
      </w:r>
      <w:r w:rsidRPr="00FD6D35">
        <w:rPr>
          <w:rFonts w:ascii="Calibri" w:hAnsi="Calibri"/>
          <w:sz w:val="20"/>
          <w:szCs w:val="20"/>
        </w:rPr>
        <w:t>, Jubilejní základní škola svatováclavská ve Strýčicích</w:t>
      </w:r>
      <w:r w:rsidRPr="00774FF7">
        <w:rPr>
          <w:rFonts w:ascii="Calibri" w:hAnsi="Calibri"/>
          <w:sz w:val="20"/>
          <w:szCs w:val="20"/>
        </w:rPr>
        <w:t xml:space="preserve">, Základní škola bratří Fričů Ondřejov, Nadační fond Dvojka srdcem, Svazková mateřská škola VENKOV, Základní škola a mateřská škola Regionu Karlovarský venkov, </w:t>
      </w:r>
      <w:r>
        <w:rPr>
          <w:rFonts w:ascii="Calibri" w:hAnsi="Calibri"/>
          <w:sz w:val="20"/>
          <w:szCs w:val="20"/>
        </w:rPr>
        <w:t>I</w:t>
      </w:r>
      <w:r w:rsidRPr="00774FF7">
        <w:rPr>
          <w:rFonts w:ascii="Calibri" w:hAnsi="Calibri"/>
          <w:sz w:val="20"/>
          <w:szCs w:val="20"/>
        </w:rPr>
        <w:t>nstitut lázeňství a balneologie, v. v. i., Ústav archeologické památkové péče severozápadních Čech, v. v. i., veřejná výzkumná instituce, Výzkumný ústav balneologický, v. v. i., Svaz měst a obcí České republiky, Jihočeský vodárenský svaz, Svazek obcí-akcionářů a.s., se sídlem v Nepomuku, Vírský oblastní vodovod, sdružení měst, obcí a svazků obcí, Vodárenské sdružení Bechyňsko, Euroregion Praděd, Sdružení měst a obcí Plzeňského kraje, Sdružení obcí Region LVA, Asociace krajů České republiky, Jizerské hory - Turistický region Liberecko, Jablonecko, Frýdlantsko a Tanvaldsko, ZŠ Úvaly, Výz. Institut ochrany genofondu, Naděje, o.p.s. Velký Osek, Jizerská o.p.s., Bedřichov, Dětské jesle o.p.s., Praha, Petrklíč o.p.s. Uh. Hradiště Filharmonie B. Martinů o.p.s., Vodovod Besednice, Nadace pro rozvoj, PA, Zájmové sdruž. Do-JE, Jeseni,</w:t>
      </w:r>
      <w:r>
        <w:rPr>
          <w:rFonts w:ascii="Calibri" w:hAnsi="Calibri"/>
          <w:sz w:val="20"/>
          <w:szCs w:val="20"/>
        </w:rPr>
        <w:t xml:space="preserve"> </w:t>
      </w:r>
      <w:r w:rsidRPr="00774FF7">
        <w:rPr>
          <w:rFonts w:ascii="Calibri" w:hAnsi="Calibri"/>
          <w:sz w:val="20"/>
          <w:szCs w:val="20"/>
        </w:rPr>
        <w:t xml:space="preserve">Vodohospodářské sdružení Přestavlky, Zálesí-Kan- sb. Batňovic, severomoravský vodárenský svaz, </w:t>
      </w:r>
      <w:r>
        <w:rPr>
          <w:rFonts w:ascii="Calibri" w:hAnsi="Calibri"/>
          <w:sz w:val="20"/>
          <w:szCs w:val="20"/>
        </w:rPr>
        <w:t>Quingburk, MŠ Na statku Drahel, Lesní MŠ Boreček, Borek, Sociální služby města H, Městské divadlo JC N/N o.p.s., Karlovarské městské divadlo o.p.s., Jabl. kulturní a informační centrum o.p.s., Plzeň 2015, zapsán ústav, ÚAPP,VVI Brno, Jizerská dráha Smržovka, Sdr. Ob. Region Lednice, MŠ Lety Lety, ZŠ, MŠ údolí Desné, Sdružení obcí povodí Hracha.</w:t>
      </w:r>
    </w:p>
    <w:p w:rsidR="00596610" w:rsidRPr="00ED1997" w:rsidP="00596610">
      <w:pPr>
        <w:jc w:val="both"/>
        <w:rPr>
          <w:rFonts w:ascii="Calibri" w:hAnsi="Calibri"/>
          <w:sz w:val="20"/>
          <w:szCs w:val="20"/>
        </w:rPr>
      </w:pPr>
    </w:p>
    <w:p w:rsidR="00AA2750" w:rsidRPr="001E2F07" w:rsidP="00A50A99">
      <w:pPr>
        <w:jc w:val="both"/>
        <w:rPr>
          <w:rFonts w:ascii="Calibri" w:hAnsi="Calibri" w:cs="Calibri"/>
          <w:b/>
          <w:lang w:val="en-GB"/>
        </w:rPr>
      </w:pPr>
      <w:r w:rsidRPr="001E2F07">
        <w:rPr>
          <w:rFonts w:ascii="Calibri" w:hAnsi="Calibri" w:cs="Calibri"/>
          <w:b/>
          <w:lang w:val="en-GB"/>
        </w:rPr>
        <w:t>Data sources:</w:t>
      </w:r>
    </w:p>
    <w:p w:rsidR="00AA2750" w:rsidRPr="00321E0A" w:rsidP="00A50A99">
      <w:pPr>
        <w:jc w:val="both"/>
        <w:rPr>
          <w:rFonts w:ascii="Calibri" w:hAnsi="Calibri" w:cs="Calibri"/>
          <w:sz w:val="20"/>
          <w:szCs w:val="20"/>
          <w:lang w:val="en-GB"/>
        </w:rPr>
      </w:pPr>
      <w:r w:rsidRPr="00321E0A">
        <w:rPr>
          <w:rFonts w:ascii="Calibri" w:hAnsi="Calibri" w:cs="Calibri"/>
          <w:sz w:val="20"/>
          <w:szCs w:val="20"/>
          <w:lang w:val="en-GB"/>
        </w:rPr>
        <w:t xml:space="preserve">Published estimates for organizations classified in this group are compiled with the use of the statement P 5-01 „Annual statement of economic entities from selected productive sectors“ and the statement N 1-01a „Annual statement of non-profit institutions, housing cooperatives and selected institutions“, which are collected by the Czech Statistical Office pursuant to the Act no. 89/1995 Coll., on the State </w:t>
      </w:r>
      <w:r>
        <w:rPr>
          <w:rFonts w:ascii="Calibri" w:hAnsi="Calibri" w:cs="Calibri"/>
          <w:sz w:val="20"/>
          <w:szCs w:val="20"/>
          <w:lang w:val="en-GB"/>
        </w:rPr>
        <w:t>s</w:t>
      </w:r>
      <w:r w:rsidRPr="00321E0A">
        <w:rPr>
          <w:rFonts w:ascii="Calibri" w:hAnsi="Calibri" w:cs="Calibri"/>
          <w:sz w:val="20"/>
          <w:szCs w:val="20"/>
          <w:lang w:val="en-GB"/>
        </w:rPr>
        <w:t xml:space="preserve">tatistical </w:t>
      </w:r>
      <w:r>
        <w:rPr>
          <w:rFonts w:ascii="Calibri" w:hAnsi="Calibri" w:cs="Calibri"/>
          <w:sz w:val="20"/>
          <w:szCs w:val="20"/>
          <w:lang w:val="en-GB"/>
        </w:rPr>
        <w:t>s</w:t>
      </w:r>
      <w:r w:rsidRPr="00321E0A">
        <w:rPr>
          <w:rFonts w:ascii="Calibri" w:hAnsi="Calibri" w:cs="Calibri"/>
          <w:sz w:val="20"/>
          <w:szCs w:val="20"/>
          <w:lang w:val="en-GB"/>
        </w:rPr>
        <w:t>ervice, as amended.</w:t>
      </w:r>
    </w:p>
    <w:p w:rsidR="00A50A99" w:rsidRPr="007C32F8" w:rsidP="00A50A99">
      <w:pPr>
        <w:jc w:val="both"/>
        <w:rPr>
          <w:rFonts w:asciiTheme="minorHAnsi" w:hAnsiTheme="minorHAnsi" w:cstheme="minorHAnsi"/>
          <w:sz w:val="20"/>
          <w:szCs w:val="20"/>
          <w:lang w:val="en-US"/>
        </w:rPr>
      </w:pPr>
    </w:p>
    <w:p w:rsidR="00A50A99" w:rsidRPr="007C32F8" w:rsidP="00A50A99">
      <w:pPr>
        <w:jc w:val="both"/>
        <w:rPr>
          <w:rFonts w:ascii="Calibri" w:hAnsi="Calibri" w:cs="Calibri"/>
          <w:b/>
          <w:lang w:val="en-US"/>
        </w:rPr>
      </w:pPr>
      <w:r w:rsidRPr="007C32F8">
        <w:rPr>
          <w:rFonts w:ascii="Calibri" w:hAnsi="Calibri" w:cs="Calibri"/>
          <w:b/>
          <w:lang w:val="en-US"/>
        </w:rPr>
        <w:t>Periodicity:</w:t>
      </w:r>
    </w:p>
    <w:p w:rsidR="00A50A99" w:rsidRPr="007C32F8" w:rsidP="00A50A99">
      <w:pPr>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Quarterly</w:t>
      </w:r>
    </w:p>
    <w:p w:rsidR="00A50A99" w:rsidRPr="007C32F8" w:rsidP="00A50A99">
      <w:pPr>
        <w:jc w:val="both"/>
        <w:rPr>
          <w:rFonts w:asciiTheme="minorHAnsi" w:hAnsiTheme="minorHAnsi" w:cstheme="minorHAnsi"/>
          <w:sz w:val="20"/>
          <w:szCs w:val="20"/>
          <w:lang w:val="en-US"/>
        </w:rPr>
      </w:pPr>
    </w:p>
    <w:p w:rsidR="00A50A99" w:rsidRPr="007C32F8" w:rsidP="00A50A99">
      <w:pPr>
        <w:jc w:val="both"/>
        <w:rPr>
          <w:rFonts w:asciiTheme="minorHAnsi" w:hAnsiTheme="minorHAnsi"/>
          <w:b/>
          <w:lang w:val="en-US"/>
        </w:rPr>
      </w:pPr>
      <w:r w:rsidRPr="007C32F8">
        <w:rPr>
          <w:rFonts w:asciiTheme="minorHAnsi" w:hAnsiTheme="minorHAnsi"/>
          <w:b/>
          <w:lang w:val="en-US"/>
        </w:rPr>
        <w:t>Release date:</w:t>
      </w:r>
    </w:p>
    <w:p w:rsidR="00A50A99" w:rsidRPr="007C32F8" w:rsidP="00A50A99">
      <w:pPr>
        <w:jc w:val="both"/>
        <w:rPr>
          <w:rFonts w:asciiTheme="minorHAnsi" w:hAnsiTheme="minorHAnsi"/>
          <w:sz w:val="20"/>
          <w:szCs w:val="20"/>
          <w:lang w:val="en-US"/>
        </w:rPr>
      </w:pPr>
      <w:r w:rsidRPr="007C32F8">
        <w:rPr>
          <w:rFonts w:asciiTheme="minorHAnsi" w:hAnsiTheme="minorHAnsi"/>
          <w:sz w:val="20"/>
          <w:szCs w:val="20"/>
          <w:lang w:val="en-US"/>
        </w:rPr>
        <w:t xml:space="preserve">The release date is always by the end of the quarter following the end of the reference period (quarter). The publication dates are contained in the </w:t>
      </w:r>
      <w:r>
        <w:fldChar w:fldCharType="begin"/>
      </w:r>
      <w:r>
        <w:instrText xml:space="preserve"> HYPERLINK "http://www.mfcr.cz/en/statistics/budgetary-frameworks-statistical-information/release-calendar" </w:instrText>
      </w:r>
      <w:r>
        <w:fldChar w:fldCharType="separate"/>
      </w:r>
      <w:r w:rsidRPr="007C32F8">
        <w:rPr>
          <w:rStyle w:val="Hyperlink"/>
          <w:rFonts w:asciiTheme="minorHAnsi" w:hAnsiTheme="minorHAnsi"/>
          <w:sz w:val="20"/>
          <w:szCs w:val="20"/>
          <w:lang w:val="en-US"/>
        </w:rPr>
        <w:t>release calendar</w:t>
      </w:r>
      <w:r>
        <w:fldChar w:fldCharType="end"/>
      </w:r>
      <w:r w:rsidRPr="007C32F8">
        <w:rPr>
          <w:rFonts w:asciiTheme="minorHAnsi" w:hAnsiTheme="minorHAnsi"/>
          <w:sz w:val="20"/>
          <w:szCs w:val="20"/>
          <w:lang w:val="en-US"/>
        </w:rPr>
        <w:t>, available on the website of the Ministry of Finance.</w:t>
      </w:r>
    </w:p>
    <w:p w:rsidR="00A50A99" w:rsidRPr="007C32F8" w:rsidP="00A50A99">
      <w:pPr>
        <w:jc w:val="both"/>
        <w:rPr>
          <w:rFonts w:asciiTheme="minorHAnsi" w:hAnsiTheme="minorHAnsi" w:cstheme="minorHAnsi"/>
          <w:sz w:val="20"/>
          <w:szCs w:val="20"/>
          <w:lang w:val="en-US"/>
        </w:rPr>
      </w:pPr>
    </w:p>
    <w:p w:rsidR="00A50A99" w:rsidRPr="007C32F8" w:rsidP="00A50A99">
      <w:pPr>
        <w:jc w:val="both"/>
        <w:rPr>
          <w:rFonts w:ascii="Calibri" w:hAnsi="Calibri" w:cs="Calibri"/>
          <w:b/>
          <w:lang w:val="en-US"/>
        </w:rPr>
      </w:pPr>
      <w:r w:rsidRPr="007C32F8">
        <w:rPr>
          <w:rFonts w:ascii="Calibri" w:hAnsi="Calibri" w:cs="Calibri"/>
          <w:b/>
          <w:lang w:val="en-US"/>
        </w:rPr>
        <w:t>Revisions:</w:t>
      </w:r>
    </w:p>
    <w:p w:rsidR="00A50A99" w:rsidRPr="007C32F8" w:rsidP="00A50A99">
      <w:pPr>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Data are not revised.</w:t>
      </w:r>
    </w:p>
    <w:p w:rsidR="00A50A99" w:rsidRPr="007C32F8" w:rsidP="00A50A99">
      <w:pPr>
        <w:jc w:val="both"/>
        <w:rPr>
          <w:rFonts w:asciiTheme="minorHAnsi" w:hAnsiTheme="minorHAnsi" w:cstheme="minorHAnsi"/>
          <w:sz w:val="20"/>
          <w:szCs w:val="20"/>
          <w:lang w:val="en-US"/>
        </w:rPr>
      </w:pPr>
    </w:p>
    <w:p w:rsidR="00AA2750" w:rsidRPr="00241D4C" w:rsidP="00A50A99">
      <w:pPr>
        <w:rPr>
          <w:rFonts w:ascii="Calibri" w:hAnsi="Calibri" w:cs="Calibri"/>
          <w:b/>
        </w:rPr>
      </w:pPr>
      <w:r w:rsidRPr="00066A6C">
        <w:rPr>
          <w:rFonts w:ascii="Calibri" w:hAnsi="Calibri" w:cs="Calibri"/>
          <w:b/>
          <w:lang w:val="en-GB"/>
        </w:rPr>
        <w:t>Methodological</w:t>
      </w:r>
      <w:r w:rsidRPr="00241D4C">
        <w:rPr>
          <w:rFonts w:ascii="Calibri" w:hAnsi="Calibri" w:cs="Calibri"/>
          <w:b/>
        </w:rPr>
        <w:t xml:space="preserve"> </w:t>
      </w:r>
      <w:r w:rsidRPr="00066A6C">
        <w:rPr>
          <w:rFonts w:ascii="Calibri" w:hAnsi="Calibri" w:cs="Calibri"/>
          <w:b/>
          <w:lang w:val="en-GB"/>
        </w:rPr>
        <w:t>description</w:t>
      </w:r>
      <w:r w:rsidRPr="00241D4C">
        <w:rPr>
          <w:rFonts w:ascii="Calibri" w:hAnsi="Calibri" w:cs="Calibri"/>
          <w:b/>
        </w:rPr>
        <w:t>:</w:t>
      </w:r>
    </w:p>
    <w:p w:rsidR="00AA2750" w:rsidP="00A50A99">
      <w:pPr>
        <w:jc w:val="both"/>
        <w:rPr>
          <w:rFonts w:ascii="Calibri" w:hAnsi="Calibri" w:cs="Calibri"/>
          <w:sz w:val="20"/>
          <w:szCs w:val="20"/>
          <w:lang w:val="en-GB"/>
        </w:rPr>
      </w:pPr>
      <w:r w:rsidRPr="007C32F8">
        <w:rPr>
          <w:rFonts w:asciiTheme="minorHAnsi" w:hAnsiTheme="minorHAnsi" w:cstheme="minorHAnsi"/>
          <w:sz w:val="20"/>
          <w:szCs w:val="20"/>
          <w:lang w:val="en-US"/>
        </w:rPr>
        <w:t xml:space="preserve">The statistical reports are designed in relation to the profit/loss statements. Items are selected in such a structure to conform to the parameters </w:t>
      </w:r>
      <w:r w:rsidRPr="00182584">
        <w:rPr>
          <w:rFonts w:asciiTheme="minorHAnsi" w:hAnsiTheme="minorHAnsi" w:cstheme="minorHAnsi"/>
          <w:sz w:val="20"/>
          <w:szCs w:val="20"/>
          <w:lang w:val="en-US"/>
        </w:rPr>
        <w:t>according to the GFSM 2014 (Government Finance Statistics Manual 2014) prepared by the International Monetary Fund</w:t>
      </w:r>
      <w:r w:rsidRPr="00182584">
        <w:rPr>
          <w:rFonts w:ascii="Calibri" w:hAnsi="Calibri" w:cs="Calibri"/>
          <w:sz w:val="20"/>
          <w:szCs w:val="20"/>
          <w:lang w:val="en-GB"/>
        </w:rPr>
        <w:t xml:space="preserve">. For this reason, some operations were excluded: such as incomes from the sale of </w:t>
      </w:r>
      <w:r w:rsidRPr="00182584">
        <w:rPr>
          <w:rFonts w:ascii="Calibri" w:hAnsi="Calibri" w:cs="Calibri"/>
          <w:sz w:val="20"/>
          <w:szCs w:val="20"/>
          <w:lang w:val="en-GB"/>
        </w:rPr>
        <w:t xml:space="preserve">securities and shares and securities sold </w:t>
      </w:r>
      <w:r w:rsidRPr="008172E2">
        <w:rPr>
          <w:rFonts w:ascii="Calibri" w:hAnsi="Calibri" w:cs="Calibri"/>
          <w:sz w:val="20"/>
          <w:szCs w:val="20"/>
          <w:lang w:val="en-GB"/>
        </w:rPr>
        <w:t>shares, foreign exchange gains and losses, write-offs, creation and use o</w:t>
      </w:r>
      <w:r w:rsidR="007C2A1D">
        <w:rPr>
          <w:rFonts w:ascii="Calibri" w:hAnsi="Calibri" w:cs="Calibri"/>
          <w:sz w:val="20"/>
          <w:szCs w:val="20"/>
          <w:lang w:val="en-GB"/>
        </w:rPr>
        <w:t>f reserves and provisions, etc.</w:t>
      </w:r>
    </w:p>
    <w:p w:rsidR="00A50A99" w:rsidP="00A50A99">
      <w:pPr>
        <w:jc w:val="both"/>
        <w:rPr>
          <w:rFonts w:ascii="Calibri" w:hAnsi="Calibri" w:cs="Calibri"/>
          <w:sz w:val="20"/>
          <w:szCs w:val="20"/>
          <w:lang w:val="en-GB"/>
        </w:rPr>
      </w:pPr>
    </w:p>
    <w:p w:rsidR="00AA2750" w:rsidRPr="008172E2" w:rsidP="00A50A99">
      <w:pPr>
        <w:jc w:val="both"/>
        <w:rPr>
          <w:rFonts w:ascii="Calibri" w:hAnsi="Calibri" w:cs="Calibri"/>
          <w:sz w:val="20"/>
          <w:szCs w:val="20"/>
          <w:lang w:val="en-GB"/>
        </w:rPr>
      </w:pPr>
      <w:r w:rsidRPr="008172E2">
        <w:rPr>
          <w:rFonts w:ascii="Calibri" w:hAnsi="Calibri" w:cs="Calibri"/>
          <w:sz w:val="20"/>
          <w:szCs w:val="20"/>
          <w:lang w:val="en-GB"/>
        </w:rPr>
        <w:t>In comparison with the ESA</w:t>
      </w:r>
      <w:r>
        <w:rPr>
          <w:rFonts w:ascii="Calibri" w:hAnsi="Calibri" w:cs="Calibri"/>
          <w:sz w:val="20"/>
          <w:szCs w:val="20"/>
          <w:lang w:val="en-GB"/>
        </w:rPr>
        <w:t>, transactions with non-financial assets</w:t>
      </w:r>
      <w:r w:rsidRPr="008172E2">
        <w:rPr>
          <w:rFonts w:ascii="Calibri" w:hAnsi="Calibri" w:cs="Calibri"/>
          <w:sz w:val="20"/>
          <w:szCs w:val="20"/>
          <w:lang w:val="en-GB"/>
        </w:rPr>
        <w:t xml:space="preserve"> are not taken into account (</w:t>
      </w:r>
      <w:r>
        <w:rPr>
          <w:rFonts w:ascii="Calibri" w:hAnsi="Calibri" w:cs="Calibri"/>
          <w:sz w:val="20"/>
          <w:szCs w:val="20"/>
          <w:lang w:val="en-GB"/>
        </w:rPr>
        <w:t>profit/loss</w:t>
      </w:r>
      <w:r w:rsidRPr="008172E2">
        <w:rPr>
          <w:rFonts w:ascii="Calibri" w:hAnsi="Calibri" w:cs="Calibri"/>
          <w:sz w:val="20"/>
          <w:szCs w:val="20"/>
          <w:lang w:val="en-GB"/>
        </w:rPr>
        <w:t xml:space="preserve"> statement does not include information on non-financial assets and investment grants). Accounting depreciation of non-financial assets </w:t>
      </w:r>
      <w:r>
        <w:rPr>
          <w:rFonts w:ascii="Calibri" w:hAnsi="Calibri" w:cs="Calibri"/>
          <w:sz w:val="20"/>
          <w:szCs w:val="20"/>
          <w:lang w:val="en-GB"/>
        </w:rPr>
        <w:t>is</w:t>
      </w:r>
      <w:r w:rsidRPr="008172E2">
        <w:rPr>
          <w:rFonts w:ascii="Calibri" w:hAnsi="Calibri" w:cs="Calibri"/>
          <w:sz w:val="20"/>
          <w:szCs w:val="20"/>
          <w:lang w:val="en-GB"/>
        </w:rPr>
        <w:t xml:space="preserve"> used as a proxy for consumption of fixed capital.</w:t>
      </w:r>
    </w:p>
    <w:p w:rsidR="00642520">
      <w:pPr>
        <w:rPr>
          <w:rFonts w:ascii="Calibri" w:hAnsi="Calibri" w:cs="Calibri"/>
          <w:sz w:val="20"/>
          <w:szCs w:val="20"/>
          <w:lang w:val="en-GB"/>
        </w:rPr>
      </w:pPr>
    </w:p>
    <w:p w:rsidR="00A50A99" w:rsidRPr="007C32F8" w:rsidP="00A50A99">
      <w:pPr>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Published data include:</w:t>
      </w:r>
    </w:p>
    <w:p w:rsidR="00A50A99" w:rsidRPr="007C32F8" w:rsidP="00A50A99">
      <w:pPr>
        <w:ind w:left="360" w:hanging="360"/>
        <w:jc w:val="both"/>
        <w:rPr>
          <w:rFonts w:asciiTheme="minorHAnsi" w:hAnsiTheme="minorHAnsi" w:cstheme="minorHAnsi"/>
          <w:b/>
          <w:sz w:val="20"/>
          <w:szCs w:val="20"/>
          <w:lang w:val="en-US"/>
        </w:rPr>
      </w:pPr>
      <w:r w:rsidRPr="007C32F8">
        <w:rPr>
          <w:rFonts w:asciiTheme="minorHAnsi" w:hAnsiTheme="minorHAnsi" w:cstheme="minorHAnsi"/>
          <w:b/>
          <w:sz w:val="20"/>
          <w:szCs w:val="20"/>
          <w:lang w:val="en-US"/>
        </w:rPr>
        <w:t>REVENUE TRANSACTIONS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1</w:t>
      </w:r>
      <w:r w:rsidRPr="007C32F8">
        <w:rPr>
          <w:rFonts w:asciiTheme="minorHAnsi" w:hAnsiTheme="minorHAnsi" w:cstheme="minorHAnsi"/>
          <w:sz w:val="20"/>
          <w:szCs w:val="20"/>
          <w:lang w:val="en-US"/>
        </w:rPr>
        <w:tab/>
        <w:t>Taxes</w:t>
      </w:r>
    </w:p>
    <w:p w:rsidR="00A50A99" w:rsidRPr="007C32F8" w:rsidP="00A50A99">
      <w:pPr>
        <w:ind w:firstLine="851"/>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11</w:t>
      </w:r>
      <w:r w:rsidRPr="007C32F8">
        <w:rPr>
          <w:rFonts w:asciiTheme="minorHAnsi" w:hAnsiTheme="minorHAnsi" w:cstheme="minorHAnsi"/>
          <w:sz w:val="20"/>
          <w:szCs w:val="20"/>
          <w:lang w:val="en-US"/>
        </w:rPr>
        <w:tab/>
        <w:t>Direct</w:t>
      </w:r>
    </w:p>
    <w:p w:rsidR="00A50A99" w:rsidRPr="007C32F8" w:rsidP="00A50A99">
      <w:pPr>
        <w:ind w:firstLine="851"/>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12</w:t>
      </w:r>
      <w:r w:rsidRPr="007C32F8">
        <w:rPr>
          <w:rFonts w:asciiTheme="minorHAnsi" w:hAnsiTheme="minorHAnsi" w:cstheme="minorHAnsi"/>
          <w:sz w:val="20"/>
          <w:szCs w:val="20"/>
          <w:lang w:val="en-US"/>
        </w:rPr>
        <w:tab/>
        <w:t>Indirect</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2</w:t>
      </w:r>
      <w:r w:rsidRPr="007C32F8">
        <w:rPr>
          <w:rFonts w:asciiTheme="minorHAnsi" w:hAnsiTheme="minorHAnsi" w:cstheme="minorHAnsi"/>
          <w:sz w:val="20"/>
          <w:szCs w:val="20"/>
          <w:lang w:val="en-US"/>
        </w:rPr>
        <w:tab/>
        <w:t>Social contributions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3</w:t>
      </w:r>
      <w:r w:rsidRPr="007C32F8">
        <w:rPr>
          <w:rFonts w:asciiTheme="minorHAnsi" w:hAnsiTheme="minorHAnsi" w:cstheme="minorHAnsi"/>
          <w:sz w:val="20"/>
          <w:szCs w:val="20"/>
          <w:lang w:val="en-US"/>
        </w:rPr>
        <w:tab/>
        <w:t>Grants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4</w:t>
      </w:r>
      <w:r w:rsidRPr="007C32F8">
        <w:rPr>
          <w:rFonts w:asciiTheme="minorHAnsi" w:hAnsiTheme="minorHAnsi" w:cstheme="minorHAnsi"/>
          <w:sz w:val="20"/>
          <w:szCs w:val="20"/>
          <w:lang w:val="en-US"/>
        </w:rPr>
        <w:tab/>
        <w:t>Other revenue</w:t>
      </w:r>
    </w:p>
    <w:p w:rsidR="00A50A99" w:rsidRPr="007C32F8" w:rsidP="00A50A99">
      <w:pPr>
        <w:ind w:firstLine="851"/>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41</w:t>
      </w:r>
      <w:r w:rsidRPr="007C32F8">
        <w:rPr>
          <w:rFonts w:asciiTheme="minorHAnsi" w:hAnsiTheme="minorHAnsi" w:cstheme="minorHAnsi"/>
          <w:sz w:val="20"/>
          <w:szCs w:val="20"/>
          <w:lang w:val="en-US"/>
        </w:rPr>
        <w:tab/>
        <w:t>Interests</w:t>
      </w:r>
    </w:p>
    <w:p w:rsidR="00A50A99" w:rsidRPr="007C32F8" w:rsidP="00A50A99">
      <w:pPr>
        <w:ind w:left="567"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42</w:t>
      </w:r>
      <w:r w:rsidRPr="007C32F8">
        <w:rPr>
          <w:rFonts w:asciiTheme="minorHAnsi" w:hAnsiTheme="minorHAnsi" w:cstheme="minorHAnsi"/>
          <w:sz w:val="20"/>
          <w:szCs w:val="20"/>
          <w:lang w:val="en-US"/>
        </w:rPr>
        <w:tab/>
        <w:t>Dividends</w:t>
      </w:r>
    </w:p>
    <w:p w:rsidR="00A50A99" w:rsidRPr="007C32F8" w:rsidP="00A50A99">
      <w:pPr>
        <w:ind w:firstLine="851"/>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43</w:t>
      </w:r>
      <w:r w:rsidRPr="007C32F8">
        <w:rPr>
          <w:rFonts w:asciiTheme="minorHAnsi" w:hAnsiTheme="minorHAnsi" w:cstheme="minorHAnsi"/>
          <w:sz w:val="20"/>
          <w:szCs w:val="20"/>
          <w:lang w:val="en-US"/>
        </w:rPr>
        <w:tab/>
        <w:t>Sales</w:t>
      </w:r>
    </w:p>
    <w:p w:rsidR="00A50A99" w:rsidRPr="007C32F8" w:rsidP="00A50A99">
      <w:pPr>
        <w:ind w:firstLine="851"/>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44</w:t>
      </w:r>
      <w:r w:rsidRPr="007C32F8">
        <w:rPr>
          <w:rFonts w:asciiTheme="minorHAnsi" w:hAnsiTheme="minorHAnsi" w:cstheme="minorHAnsi"/>
          <w:sz w:val="20"/>
          <w:szCs w:val="20"/>
          <w:lang w:val="en-US"/>
        </w:rPr>
        <w:tab/>
        <w:t>Miscellaneous transactions</w:t>
      </w:r>
    </w:p>
    <w:p w:rsidR="00A50A99" w:rsidRPr="007C32F8" w:rsidP="00A50A99">
      <w:pPr>
        <w:ind w:left="360" w:hanging="360"/>
        <w:jc w:val="both"/>
        <w:rPr>
          <w:rFonts w:asciiTheme="minorHAnsi" w:hAnsiTheme="minorHAnsi" w:cstheme="minorHAnsi"/>
          <w:b/>
          <w:sz w:val="20"/>
          <w:szCs w:val="20"/>
          <w:lang w:val="en-US"/>
        </w:rPr>
      </w:pPr>
      <w:r w:rsidRPr="007C32F8">
        <w:rPr>
          <w:rFonts w:asciiTheme="minorHAnsi" w:hAnsiTheme="minorHAnsi" w:cstheme="minorHAnsi"/>
          <w:b/>
          <w:sz w:val="20"/>
          <w:szCs w:val="20"/>
          <w:lang w:val="en-US"/>
        </w:rPr>
        <w:t>EXPENSE TRANSACTIONS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5</w:t>
      </w:r>
      <w:r w:rsidRPr="007C32F8">
        <w:rPr>
          <w:rFonts w:asciiTheme="minorHAnsi" w:hAnsiTheme="minorHAnsi" w:cstheme="minorHAnsi"/>
          <w:sz w:val="20"/>
          <w:szCs w:val="20"/>
          <w:lang w:val="en-US"/>
        </w:rPr>
        <w:tab/>
        <w:t>Compensations of employees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6</w:t>
      </w:r>
      <w:r w:rsidRPr="007C32F8">
        <w:rPr>
          <w:rFonts w:asciiTheme="minorHAnsi" w:hAnsiTheme="minorHAnsi" w:cstheme="minorHAnsi"/>
          <w:sz w:val="20"/>
          <w:szCs w:val="20"/>
          <w:lang w:val="en-US"/>
        </w:rPr>
        <w:tab/>
        <w:t>Use of goods and services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7</w:t>
      </w:r>
      <w:r w:rsidRPr="007C32F8">
        <w:rPr>
          <w:rFonts w:asciiTheme="minorHAnsi" w:hAnsiTheme="minorHAnsi" w:cstheme="minorHAnsi"/>
          <w:sz w:val="20"/>
          <w:szCs w:val="20"/>
          <w:lang w:val="en-US"/>
        </w:rPr>
        <w:tab/>
        <w:t>Consumption of fixed capital</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8</w:t>
      </w:r>
      <w:r w:rsidRPr="007C32F8">
        <w:rPr>
          <w:rFonts w:asciiTheme="minorHAnsi" w:hAnsiTheme="minorHAnsi" w:cstheme="minorHAnsi"/>
          <w:sz w:val="20"/>
          <w:szCs w:val="20"/>
          <w:lang w:val="en-US"/>
        </w:rPr>
        <w:tab/>
        <w:t>Interests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9</w:t>
      </w:r>
      <w:r w:rsidRPr="007C32F8">
        <w:rPr>
          <w:rFonts w:asciiTheme="minorHAnsi" w:hAnsiTheme="minorHAnsi" w:cstheme="minorHAnsi"/>
          <w:sz w:val="20"/>
          <w:szCs w:val="20"/>
          <w:lang w:val="en-US"/>
        </w:rPr>
        <w:tab/>
        <w:t>Grants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10</w:t>
      </w:r>
      <w:r w:rsidRPr="007C32F8">
        <w:rPr>
          <w:rFonts w:asciiTheme="minorHAnsi" w:hAnsiTheme="minorHAnsi" w:cstheme="minorHAnsi"/>
          <w:sz w:val="20"/>
          <w:szCs w:val="20"/>
          <w:lang w:val="en-US"/>
        </w:rPr>
        <w:tab/>
        <w:t>Social benefits</w:t>
      </w:r>
    </w:p>
    <w:p w:rsidR="00A50A99" w:rsidRPr="007C32F8" w:rsidP="00A50A99">
      <w:pPr>
        <w:ind w:firstLine="284"/>
        <w:jc w:val="both"/>
        <w:rPr>
          <w:rFonts w:asciiTheme="minorHAnsi" w:hAnsiTheme="minorHAnsi" w:cstheme="minorHAnsi"/>
          <w:sz w:val="20"/>
          <w:szCs w:val="20"/>
          <w:lang w:val="en-US"/>
        </w:rPr>
      </w:pPr>
      <w:r w:rsidRPr="007C32F8">
        <w:rPr>
          <w:rFonts w:asciiTheme="minorHAnsi" w:hAnsiTheme="minorHAnsi" w:cstheme="minorHAnsi"/>
          <w:sz w:val="20"/>
          <w:szCs w:val="20"/>
          <w:lang w:val="en-US"/>
        </w:rPr>
        <w:t>11</w:t>
      </w:r>
      <w:r w:rsidRPr="007C32F8">
        <w:rPr>
          <w:rFonts w:asciiTheme="minorHAnsi" w:hAnsiTheme="minorHAnsi" w:cstheme="minorHAnsi"/>
          <w:sz w:val="20"/>
          <w:szCs w:val="20"/>
          <w:lang w:val="en-US"/>
        </w:rPr>
        <w:tab/>
        <w:t>Other expense</w:t>
      </w:r>
    </w:p>
    <w:p w:rsidR="00A50A99" w:rsidRPr="007C32F8" w:rsidP="00A50A99">
      <w:pPr>
        <w:ind w:left="360" w:hanging="360"/>
        <w:jc w:val="both"/>
        <w:rPr>
          <w:rFonts w:asciiTheme="minorHAnsi" w:hAnsiTheme="minorHAnsi" w:cstheme="minorHAnsi"/>
          <w:b/>
          <w:sz w:val="20"/>
          <w:szCs w:val="20"/>
          <w:lang w:val="en-US"/>
        </w:rPr>
      </w:pPr>
      <w:r w:rsidRPr="007C32F8">
        <w:rPr>
          <w:rFonts w:asciiTheme="minorHAnsi" w:hAnsiTheme="minorHAnsi" w:cstheme="minorHAnsi"/>
          <w:b/>
          <w:sz w:val="20"/>
          <w:szCs w:val="20"/>
          <w:lang w:val="en-US"/>
        </w:rPr>
        <w:t>BALANCE</w:t>
      </w:r>
    </w:p>
    <w:p w:rsidR="00A50A99" w:rsidRPr="007C32F8" w:rsidP="00A50A99">
      <w:pPr>
        <w:ind w:left="360" w:hanging="360"/>
        <w:jc w:val="both"/>
        <w:rPr>
          <w:rFonts w:asciiTheme="minorHAnsi" w:hAnsiTheme="minorHAnsi" w:cstheme="minorHAnsi"/>
          <w:b/>
          <w:sz w:val="20"/>
          <w:szCs w:val="20"/>
          <w:lang w:val="en-US"/>
        </w:rPr>
      </w:pPr>
      <w:r w:rsidRPr="007C32F8">
        <w:rPr>
          <w:rFonts w:asciiTheme="minorHAnsi" w:hAnsiTheme="minorHAnsi" w:cstheme="minorHAnsi"/>
          <w:b/>
          <w:sz w:val="20"/>
          <w:szCs w:val="20"/>
          <w:lang w:val="en-US"/>
        </w:rPr>
        <w:t>NOT INCLUDED</w:t>
      </w:r>
    </w:p>
    <w:p w:rsidR="00A50A99" w:rsidRPr="007C32F8" w:rsidP="00A50A99">
      <w:pPr>
        <w:ind w:left="360" w:hanging="360"/>
        <w:jc w:val="both"/>
        <w:rPr>
          <w:rFonts w:asciiTheme="minorHAnsi" w:hAnsiTheme="minorHAnsi" w:cstheme="minorHAnsi"/>
          <w:sz w:val="20"/>
          <w:szCs w:val="20"/>
          <w:lang w:val="en-US"/>
        </w:rPr>
      </w:pPr>
    </w:p>
    <w:p w:rsidR="00A50A99" w:rsidRPr="007C32F8" w:rsidP="00A50A99">
      <w:pPr>
        <w:jc w:val="both"/>
        <w:rPr>
          <w:rFonts w:asciiTheme="minorHAnsi" w:hAnsiTheme="minorHAnsi"/>
          <w:b/>
          <w:lang w:val="en-US"/>
        </w:rPr>
      </w:pPr>
      <w:r w:rsidRPr="007C32F8">
        <w:rPr>
          <w:rFonts w:asciiTheme="minorHAnsi" w:hAnsiTheme="minorHAnsi"/>
          <w:b/>
          <w:lang w:val="en-US"/>
        </w:rPr>
        <w:t>Presentation format:</w:t>
      </w:r>
    </w:p>
    <w:p w:rsidR="00A50A99" w:rsidRPr="007C32F8" w:rsidP="00A50A99">
      <w:pPr>
        <w:pStyle w:val="Odstavecseseznamem1"/>
        <w:ind w:left="0"/>
        <w:jc w:val="both"/>
        <w:rPr>
          <w:rFonts w:ascii="Calibri" w:hAnsi="Calibri" w:cs="Calibri"/>
          <w:sz w:val="20"/>
          <w:szCs w:val="20"/>
          <w:lang w:val="en-US"/>
        </w:rPr>
      </w:pPr>
      <w:r w:rsidRPr="007C32F8">
        <w:rPr>
          <w:rFonts w:ascii="Calibri" w:hAnsi="Calibri" w:cs="Calibri"/>
          <w:sz w:val="20"/>
          <w:szCs w:val="20"/>
          <w:lang w:val="en-US"/>
        </w:rPr>
        <w:t>(xlsx table)</w:t>
      </w:r>
    </w:p>
    <w:p w:rsidR="00A50A99" w:rsidRPr="007C32F8" w:rsidP="00A50A99">
      <w:pPr>
        <w:pStyle w:val="Odstavecseseznamem1"/>
        <w:ind w:left="0"/>
        <w:jc w:val="both"/>
        <w:rPr>
          <w:rFonts w:ascii="Calibri" w:hAnsi="Calibri" w:cs="Calibri"/>
          <w:sz w:val="20"/>
          <w:szCs w:val="20"/>
          <w:lang w:val="en-US"/>
        </w:rPr>
      </w:pPr>
    </w:p>
    <w:p w:rsidR="00A50A99" w:rsidRPr="007C32F8" w:rsidP="00A50A99">
      <w:pPr>
        <w:pStyle w:val="FootnoteText"/>
        <w:jc w:val="both"/>
        <w:rPr>
          <w:rFonts w:ascii="Calibri" w:hAnsi="Calibri" w:cs="Calibri"/>
          <w:b/>
          <w:sz w:val="24"/>
          <w:szCs w:val="24"/>
          <w:lang w:val="en-US"/>
        </w:rPr>
      </w:pPr>
      <w:r w:rsidRPr="007C32F8">
        <w:rPr>
          <w:rFonts w:ascii="Calibri" w:hAnsi="Calibri" w:cs="Calibri"/>
          <w:b/>
          <w:sz w:val="24"/>
          <w:szCs w:val="24"/>
          <w:lang w:val="en-US"/>
        </w:rPr>
        <w:t>Symbols used in the tables:</w:t>
      </w:r>
    </w:p>
    <w:p w:rsidR="00A50A99" w:rsidRPr="007C32F8" w:rsidP="00A50A99">
      <w:pPr>
        <w:pStyle w:val="FootnoteText"/>
        <w:jc w:val="both"/>
        <w:rPr>
          <w:rFonts w:ascii="Calibri" w:hAnsi="Calibri" w:cs="Calibri"/>
          <w:lang w:val="en-US"/>
        </w:rPr>
      </w:pPr>
      <w:r w:rsidRPr="007C32F8">
        <w:rPr>
          <w:rFonts w:ascii="Calibri" w:hAnsi="Calibri" w:cs="Calibri"/>
          <w:lang w:val="en-US"/>
        </w:rPr>
        <w:t>-</w:t>
      </w:r>
      <w:r w:rsidRPr="007C32F8">
        <w:rPr>
          <w:rFonts w:ascii="Calibri" w:hAnsi="Calibri" w:cs="Calibri"/>
          <w:lang w:val="en-US"/>
        </w:rPr>
        <w:tab/>
        <w:t>a phenomenon did not occur</w:t>
      </w:r>
    </w:p>
    <w:p w:rsidR="00A50A99" w:rsidRPr="007C32F8" w:rsidP="00A50A99">
      <w:pPr>
        <w:pStyle w:val="FootnoteText"/>
        <w:jc w:val="both"/>
        <w:rPr>
          <w:rFonts w:ascii="Calibri" w:hAnsi="Calibri" w:cs="Calibri"/>
          <w:lang w:val="en-US"/>
        </w:rPr>
      </w:pPr>
      <w:r w:rsidRPr="007C32F8">
        <w:rPr>
          <w:rFonts w:ascii="Calibri" w:hAnsi="Calibri" w:cs="Calibri"/>
          <w:lang w:val="en-US"/>
        </w:rPr>
        <w:t>.</w:t>
      </w:r>
      <w:r w:rsidRPr="007C32F8">
        <w:rPr>
          <w:rFonts w:ascii="Calibri" w:hAnsi="Calibri" w:cs="Calibri"/>
          <w:lang w:val="en-US"/>
        </w:rPr>
        <w:tab/>
        <w:t>information is not available or is unreliable</w:t>
      </w:r>
    </w:p>
    <w:p w:rsidR="00A50A99" w:rsidRPr="007C32F8" w:rsidP="00A50A99">
      <w:pPr>
        <w:pStyle w:val="FootnoteText"/>
        <w:jc w:val="both"/>
        <w:rPr>
          <w:rFonts w:ascii="Calibri" w:hAnsi="Calibri" w:cs="Calibri"/>
          <w:lang w:val="en-US"/>
        </w:rPr>
      </w:pPr>
      <w:r w:rsidRPr="007C32F8">
        <w:rPr>
          <w:rFonts w:ascii="Calibri" w:hAnsi="Calibri" w:cs="Calibri"/>
          <w:lang w:val="en-US"/>
        </w:rPr>
        <w:t>x</w:t>
      </w:r>
      <w:r w:rsidRPr="007C32F8">
        <w:rPr>
          <w:rFonts w:ascii="Calibri" w:hAnsi="Calibri" w:cs="Calibri"/>
          <w:lang w:val="en-US"/>
        </w:rPr>
        <w:tab/>
        <w:t>entry is not logical reasons</w:t>
      </w:r>
    </w:p>
    <w:p w:rsidR="00A50A99" w:rsidRPr="007C32F8" w:rsidP="00A50A99">
      <w:pPr>
        <w:pStyle w:val="FootnoteText"/>
        <w:jc w:val="both"/>
        <w:rPr>
          <w:rFonts w:ascii="Calibri" w:hAnsi="Calibri" w:cs="Calibri"/>
          <w:lang w:val="en-US"/>
        </w:rPr>
      </w:pPr>
      <w:r w:rsidRPr="007C32F8">
        <w:rPr>
          <w:rFonts w:ascii="Calibri" w:hAnsi="Calibri" w:cs="Calibri"/>
          <w:lang w:val="en-US"/>
        </w:rPr>
        <w:t>0</w:t>
      </w:r>
      <w:r w:rsidRPr="007C32F8">
        <w:rPr>
          <w:rFonts w:ascii="Calibri" w:hAnsi="Calibri" w:cs="Calibri"/>
          <w:lang w:val="en-US"/>
        </w:rPr>
        <w:tab/>
        <w:t>value is less than half of the measuring unit</w:t>
      </w:r>
    </w:p>
    <w:p w:rsidR="00AA2750" w:rsidP="00A50A99">
      <w:pPr>
        <w:pStyle w:val="FootnoteText"/>
        <w:rPr>
          <w:rFonts w:ascii="Calibri" w:hAnsi="Calibri" w:cs="Calibri"/>
          <w:lang w:val="en-GB"/>
        </w:rPr>
      </w:pPr>
    </w:p>
    <w:tbl>
      <w:tblPr>
        <w:tblW w:w="93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984"/>
        <w:gridCol w:w="7370"/>
      </w:tblGrid>
      <w:tr w:rsidTr="000B1B9B">
        <w:tblPrEx>
          <w:tblW w:w="93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Ex>
        <w:trPr>
          <w:cantSplit/>
          <w:trHeight w:val="315"/>
        </w:trPr>
        <w:tc>
          <w:tcPr>
            <w:tcW w:w="1984" w:type="dxa"/>
          </w:tcPr>
          <w:p w:rsidR="001F1C49" w:rsidRPr="001F1C49" w:rsidP="001F1C49">
            <w:pPr>
              <w:jc w:val="center"/>
              <w:rPr>
                <w:rFonts w:asciiTheme="minorHAnsi" w:hAnsiTheme="minorHAnsi" w:cstheme="minorHAnsi"/>
                <w:b/>
                <w:bCs/>
                <w:lang w:val="en-US"/>
              </w:rPr>
            </w:pPr>
            <w:r w:rsidRPr="001F1C49">
              <w:rPr>
                <w:rFonts w:asciiTheme="minorHAnsi" w:hAnsiTheme="minorHAnsi" w:cstheme="minorHAnsi"/>
                <w:b/>
                <w:bCs/>
                <w:lang w:val="en-US"/>
              </w:rPr>
              <w:t>Item</w:t>
            </w:r>
          </w:p>
        </w:tc>
        <w:tc>
          <w:tcPr>
            <w:tcW w:w="7370" w:type="dxa"/>
            <w:noWrap/>
            <w:vAlign w:val="center"/>
          </w:tcPr>
          <w:p w:rsidR="001F1C49" w:rsidRPr="001F1C49" w:rsidP="001F1C49">
            <w:pPr>
              <w:jc w:val="center"/>
              <w:rPr>
                <w:rFonts w:asciiTheme="minorHAnsi" w:hAnsiTheme="minorHAnsi" w:cstheme="minorHAnsi"/>
                <w:b/>
                <w:bCs/>
                <w:lang w:val="en-US"/>
              </w:rPr>
            </w:pPr>
            <w:r w:rsidRPr="001F1C49">
              <w:rPr>
                <w:rFonts w:asciiTheme="minorHAnsi" w:hAnsiTheme="minorHAnsi" w:cstheme="minorHAnsi"/>
                <w:b/>
                <w:bCs/>
                <w:lang w:val="en-US"/>
              </w:rPr>
              <w:t>Item description</w:t>
            </w:r>
          </w:p>
        </w:tc>
      </w:tr>
      <w:tr w:rsidTr="000B1B9B">
        <w:tblPrEx>
          <w:tblW w:w="9354" w:type="dxa"/>
          <w:tblInd w:w="55" w:type="dxa"/>
          <w:tblLayout w:type="fixed"/>
          <w:tblCellMar>
            <w:left w:w="70" w:type="dxa"/>
            <w:right w:w="70" w:type="dxa"/>
          </w:tblCellMar>
          <w:tblLook w:val="00A0"/>
        </w:tblPrEx>
        <w:trPr>
          <w:cantSplit/>
          <w:trHeight w:val="192"/>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REVENUE TRANSACTIONS</w:t>
            </w:r>
          </w:p>
        </w:tc>
        <w:tc>
          <w:tcPr>
            <w:tcW w:w="7370" w:type="dxa"/>
          </w:tcPr>
          <w:p w:rsidR="001F1C49" w:rsidRPr="001F1C49" w:rsidP="001F1C49">
            <w:pPr>
              <w:jc w:val="both"/>
              <w:rPr>
                <w:rFonts w:asciiTheme="minorHAnsi" w:hAnsiTheme="minorHAnsi" w:cstheme="minorHAnsi"/>
                <w:i/>
                <w:sz w:val="20"/>
                <w:szCs w:val="20"/>
                <w:lang w:val="en-US"/>
              </w:rPr>
            </w:pPr>
            <w:r w:rsidRPr="001F1C49">
              <w:rPr>
                <w:rFonts w:asciiTheme="minorHAnsi" w:hAnsiTheme="minorHAnsi" w:cstheme="minorHAnsi"/>
                <w:i/>
                <w:sz w:val="20"/>
                <w:szCs w:val="20"/>
                <w:lang w:val="en-US"/>
              </w:rPr>
              <w:t>(1+2+3+4)</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128"/>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1 Taxes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206"/>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2 Social contributions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554"/>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3 Grants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mainly includes revenue from grants, donations, subsidies, levies, non-repayable financial assistance, with the exception of taxes, fees and other similar benefits.</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489"/>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4 Other revenue</w:t>
            </w:r>
          </w:p>
        </w:tc>
        <w:tc>
          <w:tcPr>
            <w:tcW w:w="7370" w:type="dxa"/>
          </w:tcPr>
          <w:p w:rsidR="001F1C49" w:rsidRPr="001F1C49" w:rsidP="001F1C49">
            <w:pPr>
              <w:jc w:val="both"/>
              <w:rPr>
                <w:rFonts w:asciiTheme="minorHAnsi" w:hAnsiTheme="minorHAnsi" w:cstheme="minorHAnsi"/>
                <w:i/>
                <w:sz w:val="20"/>
                <w:szCs w:val="20"/>
                <w:lang w:val="en-US"/>
              </w:rPr>
            </w:pPr>
            <w:r w:rsidRPr="001F1C49">
              <w:rPr>
                <w:rFonts w:asciiTheme="minorHAnsi" w:hAnsiTheme="minorHAnsi" w:cstheme="minorHAnsi"/>
                <w:i/>
                <w:sz w:val="20"/>
                <w:szCs w:val="20"/>
                <w:lang w:val="en-US"/>
              </w:rPr>
              <w:t>(41+42+43+44)</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568"/>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41 Interests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interest revenue, including interest income from debt securities and loans granted.</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330"/>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42 Dividends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819"/>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43 Sales of goods and services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category includes revenues from the sale of goods, own products, services, rents. It also includes compensation for damages and losses, the surplus assets excluding surpluses of intangible and tangible assets.</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70"/>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44 Miscellaneous transactions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category includes revenues from fines, penalties and default interest (with the exception of interest on late payment under the credit agreement) and other financial revenue.</w:t>
            </w:r>
          </w:p>
          <w:p w:rsidR="001F1C49" w:rsidRPr="001F1C49" w:rsidP="001F1C49">
            <w:pPr>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283"/>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EXPENSE TRANSACTIONS</w:t>
            </w:r>
          </w:p>
        </w:tc>
        <w:tc>
          <w:tcPr>
            <w:tcW w:w="7370" w:type="dxa"/>
          </w:tcPr>
          <w:p w:rsidR="001F1C49" w:rsidRPr="001F1C49" w:rsidP="001F1C49">
            <w:pPr>
              <w:jc w:val="both"/>
              <w:rPr>
                <w:rFonts w:asciiTheme="minorHAnsi" w:hAnsiTheme="minorHAnsi" w:cstheme="minorHAnsi"/>
                <w:i/>
                <w:sz w:val="20"/>
                <w:szCs w:val="20"/>
                <w:lang w:val="en-US"/>
              </w:rPr>
            </w:pPr>
            <w:r w:rsidRPr="001F1C49">
              <w:rPr>
                <w:rFonts w:asciiTheme="minorHAnsi" w:hAnsiTheme="minorHAnsi" w:cstheme="minorHAnsi"/>
                <w:sz w:val="20"/>
                <w:szCs w:val="20"/>
                <w:lang w:val="en-US"/>
              </w:rPr>
              <w:t>(</w:t>
            </w:r>
            <w:r w:rsidRPr="001F1C49">
              <w:rPr>
                <w:rFonts w:asciiTheme="minorHAnsi" w:hAnsiTheme="minorHAnsi" w:cstheme="minorHAnsi"/>
                <w:i/>
                <w:sz w:val="20"/>
                <w:szCs w:val="20"/>
                <w:lang w:val="en-US"/>
              </w:rPr>
              <w:t>5+6+7+8+9+10+11)</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1042"/>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5 Compensations of employees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contains personal expenses, such as costs of all employee benefits from employment and wage compensation for temporary incapacity, the expenses arising from the statutory obligation of the employer to pay within the social insurance and health insurance, etc.</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927"/>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6 Use of goods and services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consumed purchases and services, e.g. expenses for materials, energy, sold goods, repairs and maintenance, travelling etc.</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1124"/>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7 Consumption of fixed capital</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expenses expressing the decline in the value of fixed assets owned and used by a unit during the course of an accounting period, especially in line with the depreciation plan, and the net book value of intangible and tangible fixed assets at its disposal, especially because of total wear.</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607"/>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8 Interests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expenses arising from interest on loans, borrowings and issued debt securities.</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416"/>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9 Grants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expenses arising from grants, donations, subsidies, levies, non-repayable financial assistance, regardless of the purpose of the transfer.</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224"/>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10 Social benefits</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w:t>
            </w:r>
          </w:p>
          <w:p w:rsidR="001F1C49" w:rsidRPr="001F1C49" w:rsidP="001F1C49">
            <w:pPr>
              <w:jc w:val="both"/>
              <w:rPr>
                <w:rFonts w:asciiTheme="minorHAnsi" w:hAnsiTheme="minorHAnsi" w:cstheme="minorHAns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699"/>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11 Other expense</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The item includes e.g. expenses on corporate income tax, property tax, road tax, fees, fines, penalties, gifts and other financial costs.</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224"/>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BALANCE</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It is difference between „REVENUE TRANSACTIONS“ and „EXPENSE TRANSACTIONS“.</w:t>
            </w:r>
          </w:p>
          <w:p w:rsidR="001F1C49" w:rsidRPr="001F1C49" w:rsidP="001F1C49">
            <w:pPr>
              <w:jc w:val="both"/>
              <w:rPr>
                <w:rFonts w:asciiTheme="minorHAnsi" w:hAnsiTheme="minorHAnsi" w:cstheme="minorHAnsi"/>
                <w:i/>
                <w:sz w:val="20"/>
                <w:szCs w:val="20"/>
                <w:lang w:val="en-US"/>
              </w:rPr>
            </w:pPr>
          </w:p>
        </w:tc>
      </w:tr>
      <w:tr w:rsidTr="000B1B9B">
        <w:tblPrEx>
          <w:tblW w:w="9354" w:type="dxa"/>
          <w:tblInd w:w="55" w:type="dxa"/>
          <w:tblLayout w:type="fixed"/>
          <w:tblCellMar>
            <w:left w:w="70" w:type="dxa"/>
            <w:right w:w="70" w:type="dxa"/>
          </w:tblCellMar>
          <w:tblLook w:val="00A0"/>
        </w:tblPrEx>
        <w:trPr>
          <w:cantSplit/>
          <w:trHeight w:val="444"/>
        </w:trPr>
        <w:tc>
          <w:tcPr>
            <w:tcW w:w="1984" w:type="dxa"/>
            <w:vAlign w:val="center"/>
          </w:tcPr>
          <w:p w:rsidR="001F1C49" w:rsidRPr="001F1C49" w:rsidP="001F1C49">
            <w:pPr>
              <w:rPr>
                <w:rFonts w:asciiTheme="minorHAnsi" w:hAnsiTheme="minorHAnsi" w:cstheme="minorHAnsi"/>
                <w:b/>
                <w:lang w:val="en-US"/>
              </w:rPr>
            </w:pPr>
            <w:r w:rsidRPr="001F1C49">
              <w:rPr>
                <w:rFonts w:asciiTheme="minorHAnsi" w:hAnsiTheme="minorHAnsi" w:cstheme="minorHAnsi"/>
                <w:b/>
                <w:lang w:val="en-US"/>
              </w:rPr>
              <w:t>NOT INCLUDED</w:t>
            </w:r>
          </w:p>
        </w:tc>
        <w:tc>
          <w:tcPr>
            <w:tcW w:w="7370" w:type="dxa"/>
          </w:tcPr>
          <w:p w:rsidR="001F1C49" w:rsidRPr="001F1C49" w:rsidP="001F1C49">
            <w:pPr>
              <w:jc w:val="both"/>
              <w:rPr>
                <w:rFonts w:asciiTheme="minorHAnsi" w:hAnsiTheme="minorHAnsi" w:cstheme="minorHAnsi"/>
                <w:sz w:val="20"/>
                <w:szCs w:val="20"/>
                <w:lang w:val="en-US"/>
              </w:rPr>
            </w:pPr>
            <w:r w:rsidRPr="001F1C49">
              <w:rPr>
                <w:rFonts w:asciiTheme="minorHAnsi" w:hAnsiTheme="minorHAnsi" w:cstheme="minorHAnsi"/>
                <w:sz w:val="20"/>
                <w:szCs w:val="20"/>
                <w:lang w:val="en-US"/>
              </w:rPr>
              <w:t>-</w:t>
            </w:r>
          </w:p>
          <w:p w:rsidR="001F1C49" w:rsidRPr="001F1C49" w:rsidP="001F1C49">
            <w:pPr>
              <w:rPr>
                <w:rFonts w:asciiTheme="minorHAnsi" w:hAnsiTheme="minorHAnsi" w:cstheme="minorHAnsi"/>
                <w:i/>
                <w:sz w:val="20"/>
                <w:szCs w:val="20"/>
                <w:lang w:val="en-US"/>
              </w:rPr>
            </w:pPr>
          </w:p>
        </w:tc>
      </w:tr>
    </w:tbl>
    <w:p w:rsidR="00AA2750" w:rsidRPr="00241D4C" w:rsidP="001E2F07">
      <w:pPr>
        <w:pStyle w:val="FootnoteText"/>
        <w:rPr>
          <w:rFonts w:ascii="Calibri" w:hAnsi="Calibri" w:cs="Calibri"/>
          <w:lang w:val="en-GB"/>
        </w:rPr>
      </w:pPr>
    </w:p>
    <w:sectPr w:rsidSect="002E7462">
      <w:headerReference w:type="even" r:id="rId5"/>
      <w:headerReference w:type="default" r:id="rId6"/>
      <w:footerReference w:type="even" r:id="rId7"/>
      <w:footerReference w:type="default" r:id="rId8"/>
      <w:headerReference w:type="first" r:id="rId9"/>
      <w:footerReference w:type="first" r:id="rId10"/>
      <w:pgSz w:w="11907" w:h="16839" w:code="9"/>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22"/>
        <w:szCs w:val="22"/>
      </w:rPr>
      <w:id w:val="-1971128176"/>
      <w:docPartObj>
        <w:docPartGallery w:val="Page Numbers (Bottom of Page)"/>
        <w:docPartUnique/>
      </w:docPartObj>
    </w:sdtPr>
    <w:sdtContent>
      <w:p w:rsidR="001F1C49" w:rsidRPr="001F1C49">
        <w:pPr>
          <w:pStyle w:val="Footer"/>
          <w:jc w:val="center"/>
          <w:rPr>
            <w:rFonts w:asciiTheme="minorHAnsi" w:hAnsiTheme="minorHAnsi"/>
            <w:sz w:val="22"/>
            <w:szCs w:val="22"/>
          </w:rPr>
        </w:pPr>
        <w:r w:rsidRPr="001F1C49">
          <w:rPr>
            <w:rFonts w:asciiTheme="minorHAnsi" w:hAnsiTheme="minorHAnsi"/>
            <w:sz w:val="22"/>
            <w:szCs w:val="22"/>
          </w:rPr>
          <w:fldChar w:fldCharType="begin"/>
        </w:r>
        <w:r w:rsidRPr="001F1C49">
          <w:rPr>
            <w:rFonts w:asciiTheme="minorHAnsi" w:hAnsiTheme="minorHAnsi"/>
            <w:sz w:val="22"/>
            <w:szCs w:val="22"/>
          </w:rPr>
          <w:instrText>PAGE   \* MERGEFORMAT</w:instrText>
        </w:r>
        <w:r w:rsidRPr="001F1C49">
          <w:rPr>
            <w:rFonts w:asciiTheme="minorHAnsi" w:hAnsiTheme="minorHAnsi"/>
            <w:sz w:val="22"/>
            <w:szCs w:val="22"/>
          </w:rPr>
          <w:fldChar w:fldCharType="separate"/>
        </w:r>
        <w:r w:rsidR="00531403">
          <w:rPr>
            <w:rFonts w:asciiTheme="minorHAnsi" w:hAnsiTheme="minorHAnsi"/>
            <w:noProof/>
            <w:sz w:val="22"/>
            <w:szCs w:val="22"/>
          </w:rPr>
          <w:t>1</w:t>
        </w:r>
        <w:r w:rsidRPr="001F1C49">
          <w:rPr>
            <w:rFonts w:asciiTheme="minorHAnsi" w:hAnsiTheme="minorHAnsi"/>
            <w:sz w:val="22"/>
            <w:szCs w:val="22"/>
          </w:rPr>
          <w:fldChar w:fldCharType="end"/>
        </w:r>
      </w:p>
    </w:sdtContent>
  </w:sdt>
  <w:p w:rsidR="001F1C49" w:rsidRPr="001F1C49">
    <w:pPr>
      <w:pStyle w:val="Footer"/>
      <w:rPr>
        <w:rFonts w:asciiTheme="minorHAnsi" w:hAnsi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4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416D06"/>
    <w:multiLevelType w:val="hybridMultilevel"/>
    <w:tmpl w:val="58C6093C"/>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1">
    <w:nsid w:val="07DA75DB"/>
    <w:multiLevelType w:val="hybridMultilevel"/>
    <w:tmpl w:val="017A1570"/>
    <w:lvl w:ilvl="0">
      <w:start w:val="12"/>
      <w:numFmt w:val="decimal"/>
      <w:lvlText w:val="%1"/>
      <w:lvlJc w:val="left"/>
      <w:pPr>
        <w:ind w:left="1494" w:hanging="360"/>
      </w:pPr>
      <w:rPr>
        <w:rFonts w:cs="Times New Roman" w:hint="default"/>
      </w:rPr>
    </w:lvl>
    <w:lvl w:ilvl="1" w:tentative="1">
      <w:start w:val="1"/>
      <w:numFmt w:val="lowerLetter"/>
      <w:lvlText w:val="%2."/>
      <w:lvlJc w:val="left"/>
      <w:pPr>
        <w:ind w:left="2214" w:hanging="360"/>
      </w:pPr>
      <w:rPr>
        <w:rFonts w:cs="Times New Roman"/>
      </w:rPr>
    </w:lvl>
    <w:lvl w:ilvl="2" w:tentative="1">
      <w:start w:val="1"/>
      <w:numFmt w:val="lowerRoman"/>
      <w:lvlText w:val="%3."/>
      <w:lvlJc w:val="right"/>
      <w:pPr>
        <w:ind w:left="2934" w:hanging="180"/>
      </w:pPr>
      <w:rPr>
        <w:rFonts w:cs="Times New Roman"/>
      </w:rPr>
    </w:lvl>
    <w:lvl w:ilvl="3" w:tentative="1">
      <w:start w:val="1"/>
      <w:numFmt w:val="decimal"/>
      <w:lvlText w:val="%4."/>
      <w:lvlJc w:val="left"/>
      <w:pPr>
        <w:ind w:left="3654" w:hanging="360"/>
      </w:pPr>
      <w:rPr>
        <w:rFonts w:cs="Times New Roman"/>
      </w:rPr>
    </w:lvl>
    <w:lvl w:ilvl="4" w:tentative="1">
      <w:start w:val="1"/>
      <w:numFmt w:val="lowerLetter"/>
      <w:lvlText w:val="%5."/>
      <w:lvlJc w:val="left"/>
      <w:pPr>
        <w:ind w:left="4374" w:hanging="360"/>
      </w:pPr>
      <w:rPr>
        <w:rFonts w:cs="Times New Roman"/>
      </w:rPr>
    </w:lvl>
    <w:lvl w:ilvl="5" w:tentative="1">
      <w:start w:val="1"/>
      <w:numFmt w:val="lowerRoman"/>
      <w:lvlText w:val="%6."/>
      <w:lvlJc w:val="right"/>
      <w:pPr>
        <w:ind w:left="5094" w:hanging="180"/>
      </w:pPr>
      <w:rPr>
        <w:rFonts w:cs="Times New Roman"/>
      </w:rPr>
    </w:lvl>
    <w:lvl w:ilvl="6" w:tentative="1">
      <w:start w:val="1"/>
      <w:numFmt w:val="decimal"/>
      <w:lvlText w:val="%7."/>
      <w:lvlJc w:val="left"/>
      <w:pPr>
        <w:ind w:left="5814" w:hanging="360"/>
      </w:pPr>
      <w:rPr>
        <w:rFonts w:cs="Times New Roman"/>
      </w:rPr>
    </w:lvl>
    <w:lvl w:ilvl="7" w:tentative="1">
      <w:start w:val="1"/>
      <w:numFmt w:val="lowerLetter"/>
      <w:lvlText w:val="%8."/>
      <w:lvlJc w:val="left"/>
      <w:pPr>
        <w:ind w:left="6534" w:hanging="360"/>
      </w:pPr>
      <w:rPr>
        <w:rFonts w:cs="Times New Roman"/>
      </w:rPr>
    </w:lvl>
    <w:lvl w:ilvl="8" w:tentative="1">
      <w:start w:val="1"/>
      <w:numFmt w:val="lowerRoman"/>
      <w:lvlText w:val="%9."/>
      <w:lvlJc w:val="right"/>
      <w:pPr>
        <w:ind w:left="7254" w:hanging="180"/>
      </w:pPr>
      <w:rPr>
        <w:rFonts w:cs="Times New Roman"/>
      </w:rPr>
    </w:lvl>
  </w:abstractNum>
  <w:abstractNum w:abstractNumId="2">
    <w:nsid w:val="07DF2E8B"/>
    <w:multiLevelType w:val="hybridMultilevel"/>
    <w:tmpl w:val="926A8BAE"/>
    <w:lvl w:ilvl="0">
      <w:start w:val="1"/>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3">
    <w:nsid w:val="44455F8F"/>
    <w:multiLevelType w:val="hybridMultilevel"/>
    <w:tmpl w:val="3200B2F8"/>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
    <w:nsid w:val="49BF567E"/>
    <w:multiLevelType w:val="hybridMultilevel"/>
    <w:tmpl w:val="0C36BCE8"/>
    <w:lvl w:ilvl="0">
      <w:start w:val="5"/>
      <w:numFmt w:val="decimal"/>
      <w:lvlText w:val="%1"/>
      <w:lvlJc w:val="left"/>
      <w:pPr>
        <w:ind w:left="644" w:hanging="360"/>
      </w:pPr>
      <w:rPr>
        <w:rFonts w:cs="Times New Roman" w:hint="default"/>
      </w:rPr>
    </w:lvl>
    <w:lvl w:ilvl="1" w:tentative="1">
      <w:start w:val="1"/>
      <w:numFmt w:val="lowerLetter"/>
      <w:lvlText w:val="%2."/>
      <w:lvlJc w:val="left"/>
      <w:pPr>
        <w:ind w:left="1364" w:hanging="360"/>
      </w:pPr>
      <w:rPr>
        <w:rFonts w:cs="Times New Roman"/>
      </w:rPr>
    </w:lvl>
    <w:lvl w:ilvl="2" w:tentative="1">
      <w:start w:val="1"/>
      <w:numFmt w:val="lowerRoman"/>
      <w:lvlText w:val="%3."/>
      <w:lvlJc w:val="right"/>
      <w:pPr>
        <w:ind w:left="2084" w:hanging="180"/>
      </w:pPr>
      <w:rPr>
        <w:rFonts w:cs="Times New Roman"/>
      </w:rPr>
    </w:lvl>
    <w:lvl w:ilvl="3" w:tentative="1">
      <w:start w:val="1"/>
      <w:numFmt w:val="decimal"/>
      <w:lvlText w:val="%4."/>
      <w:lvlJc w:val="left"/>
      <w:pPr>
        <w:ind w:left="2804" w:hanging="360"/>
      </w:pPr>
      <w:rPr>
        <w:rFonts w:cs="Times New Roman"/>
      </w:rPr>
    </w:lvl>
    <w:lvl w:ilvl="4" w:tentative="1">
      <w:start w:val="1"/>
      <w:numFmt w:val="lowerLetter"/>
      <w:lvlText w:val="%5."/>
      <w:lvlJc w:val="left"/>
      <w:pPr>
        <w:ind w:left="3524" w:hanging="360"/>
      </w:pPr>
      <w:rPr>
        <w:rFonts w:cs="Times New Roman"/>
      </w:rPr>
    </w:lvl>
    <w:lvl w:ilvl="5" w:tentative="1">
      <w:start w:val="1"/>
      <w:numFmt w:val="lowerRoman"/>
      <w:lvlText w:val="%6."/>
      <w:lvlJc w:val="right"/>
      <w:pPr>
        <w:ind w:left="4244" w:hanging="180"/>
      </w:pPr>
      <w:rPr>
        <w:rFonts w:cs="Times New Roman"/>
      </w:rPr>
    </w:lvl>
    <w:lvl w:ilvl="6" w:tentative="1">
      <w:start w:val="1"/>
      <w:numFmt w:val="decimal"/>
      <w:lvlText w:val="%7."/>
      <w:lvlJc w:val="left"/>
      <w:pPr>
        <w:ind w:left="4964" w:hanging="360"/>
      </w:pPr>
      <w:rPr>
        <w:rFonts w:cs="Times New Roman"/>
      </w:rPr>
    </w:lvl>
    <w:lvl w:ilvl="7" w:tentative="1">
      <w:start w:val="1"/>
      <w:numFmt w:val="lowerLetter"/>
      <w:lvlText w:val="%8."/>
      <w:lvlJc w:val="left"/>
      <w:pPr>
        <w:ind w:left="5684" w:hanging="360"/>
      </w:pPr>
      <w:rPr>
        <w:rFonts w:cs="Times New Roman"/>
      </w:rPr>
    </w:lvl>
    <w:lvl w:ilvl="8" w:tentative="1">
      <w:start w:val="1"/>
      <w:numFmt w:val="lowerRoman"/>
      <w:lvlText w:val="%9."/>
      <w:lvlJc w:val="right"/>
      <w:pPr>
        <w:ind w:left="6404" w:hanging="180"/>
      </w:pPr>
      <w:rPr>
        <w:rFonts w:cs="Times New Roman"/>
      </w:rPr>
    </w:lvl>
  </w:abstractNum>
  <w:abstractNum w:abstractNumId="5">
    <w:nsid w:val="62BD4660"/>
    <w:multiLevelType w:val="hybridMultilevel"/>
    <w:tmpl w:val="7AF46B6C"/>
    <w:lvl w:ilvl="0">
      <w:start w:val="1"/>
      <w:numFmt w:val="upperRoman"/>
      <w:lvlText w:val="%1."/>
      <w:lvlJc w:val="left"/>
      <w:pPr>
        <w:ind w:left="1080" w:hanging="72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7462"/>
    <w:rPr>
      <w:sz w:val="24"/>
      <w:szCs w:val="24"/>
    </w:rPr>
  </w:style>
  <w:style w:type="paragraph" w:styleId="Heading2">
    <w:name w:val="heading 2"/>
    <w:basedOn w:val="Normal"/>
    <w:next w:val="Normal"/>
    <w:link w:val="Nadpis2Char"/>
    <w:uiPriority w:val="99"/>
    <w:qFormat/>
    <w:rsid w:val="003E079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2Char">
    <w:name w:val="Nadpis 2 Char"/>
    <w:link w:val="Heading2"/>
    <w:uiPriority w:val="99"/>
    <w:semiHidden/>
    <w:locked/>
    <w:rsid w:val="006F723E"/>
    <w:rPr>
      <w:rFonts w:ascii="Cambria" w:hAnsi="Cambria" w:cs="Times New Roman"/>
      <w:b/>
      <w:bCs/>
      <w:i/>
      <w:iCs/>
      <w:sz w:val="28"/>
      <w:szCs w:val="28"/>
    </w:rPr>
  </w:style>
  <w:style w:type="paragraph" w:customStyle="1" w:styleId="Styl4">
    <w:name w:val="Styl4"/>
    <w:basedOn w:val="Normal"/>
    <w:next w:val="Heading2"/>
    <w:uiPriority w:val="99"/>
    <w:rsid w:val="003E0793"/>
    <w:rPr>
      <w:rFonts w:ascii="Calibri" w:hAnsi="Calibri"/>
      <w:b/>
      <w:sz w:val="28"/>
    </w:rPr>
  </w:style>
  <w:style w:type="paragraph" w:styleId="ListParagraph">
    <w:name w:val="List Paragraph"/>
    <w:basedOn w:val="Normal"/>
    <w:uiPriority w:val="99"/>
    <w:qFormat/>
    <w:rsid w:val="002E7462"/>
    <w:pPr>
      <w:ind w:left="720"/>
      <w:contextualSpacing/>
    </w:pPr>
  </w:style>
  <w:style w:type="character" w:customStyle="1" w:styleId="shorttext">
    <w:name w:val="short_text"/>
    <w:uiPriority w:val="99"/>
    <w:rsid w:val="00DC5DAD"/>
    <w:rPr>
      <w:rFonts w:cs="Times New Roman"/>
    </w:rPr>
  </w:style>
  <w:style w:type="character" w:customStyle="1" w:styleId="hps">
    <w:name w:val="hps"/>
    <w:uiPriority w:val="99"/>
    <w:rsid w:val="00DC5DAD"/>
    <w:rPr>
      <w:rFonts w:cs="Times New Roman"/>
    </w:rPr>
  </w:style>
  <w:style w:type="paragraph" w:styleId="FootnoteText">
    <w:name w:val="footnote text"/>
    <w:aliases w:val="Footnote,Podrozdzia3,Podrozdział,Schriftart: 10 pt,Schriftart: 8 pt,Schriftart: 9 pt,pozn. pod čarou"/>
    <w:basedOn w:val="Normal"/>
    <w:link w:val="TextpoznpodarouChar"/>
    <w:rsid w:val="00135CF8"/>
    <w:rPr>
      <w:sz w:val="20"/>
      <w:szCs w:val="20"/>
    </w:rPr>
  </w:style>
  <w:style w:type="character" w:customStyle="1" w:styleId="TextpoznpodarouChar">
    <w:name w:val="Text pozn. pod čarou Char"/>
    <w:aliases w:val="Footnote Char,Podrozdzia3 Char,Podrozdział Char,Schriftart: 10 pt Char,Schriftart: 8 pt Char,Schriftart: 9 pt Char,pozn. pod čarou Char"/>
    <w:link w:val="FootnoteText"/>
    <w:locked/>
    <w:rsid w:val="00135CF8"/>
    <w:rPr>
      <w:rFonts w:cs="Times New Roman"/>
    </w:rPr>
  </w:style>
  <w:style w:type="paragraph" w:customStyle="1" w:styleId="Odstavecseseznamem1">
    <w:name w:val="Odstavec se seznamem1"/>
    <w:basedOn w:val="Normal"/>
    <w:rsid w:val="00135CF8"/>
    <w:pPr>
      <w:ind w:left="720"/>
      <w:contextualSpacing/>
    </w:pPr>
  </w:style>
  <w:style w:type="character" w:customStyle="1" w:styleId="atn">
    <w:name w:val="atn"/>
    <w:uiPriority w:val="99"/>
    <w:rsid w:val="00321E0A"/>
    <w:rPr>
      <w:rFonts w:cs="Times New Roman"/>
    </w:rPr>
  </w:style>
  <w:style w:type="character" w:styleId="Hyperlink">
    <w:name w:val="Hyperlink"/>
    <w:basedOn w:val="DefaultParagraphFont"/>
    <w:uiPriority w:val="99"/>
    <w:rsid w:val="00A50A99"/>
    <w:rPr>
      <w:color w:val="0000FF" w:themeColor="hyperlink"/>
      <w:u w:val="single"/>
    </w:rPr>
  </w:style>
  <w:style w:type="paragraph" w:styleId="Header">
    <w:name w:val="header"/>
    <w:basedOn w:val="Normal"/>
    <w:link w:val="ZhlavChar"/>
    <w:uiPriority w:val="99"/>
    <w:unhideWhenUsed/>
    <w:rsid w:val="001F1C49"/>
    <w:pPr>
      <w:tabs>
        <w:tab w:val="center" w:pos="4536"/>
        <w:tab w:val="right" w:pos="9072"/>
      </w:tabs>
    </w:pPr>
  </w:style>
  <w:style w:type="character" w:customStyle="1" w:styleId="ZhlavChar">
    <w:name w:val="Záhlaví Char"/>
    <w:basedOn w:val="DefaultParagraphFont"/>
    <w:link w:val="Header"/>
    <w:uiPriority w:val="99"/>
    <w:rsid w:val="001F1C49"/>
    <w:rPr>
      <w:sz w:val="24"/>
      <w:szCs w:val="24"/>
    </w:rPr>
  </w:style>
  <w:style w:type="paragraph" w:styleId="Footer">
    <w:name w:val="footer"/>
    <w:basedOn w:val="Normal"/>
    <w:link w:val="ZpatChar"/>
    <w:uiPriority w:val="99"/>
    <w:unhideWhenUsed/>
    <w:rsid w:val="001F1C49"/>
    <w:pPr>
      <w:tabs>
        <w:tab w:val="center" w:pos="4536"/>
        <w:tab w:val="right" w:pos="9072"/>
      </w:tabs>
    </w:pPr>
  </w:style>
  <w:style w:type="character" w:customStyle="1" w:styleId="ZpatChar">
    <w:name w:val="Zápatí Char"/>
    <w:basedOn w:val="DefaultParagraphFont"/>
    <w:link w:val="Footer"/>
    <w:uiPriority w:val="99"/>
    <w:rsid w:val="001F1C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A66AC-AF15-49D7-87F0-171EC9FD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3</Pages>
  <Words>1137</Words>
  <Characters>6713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2021-03-22T18:54:00Z</dcterms:created>
</cp:coreProperties>
</file>